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E0" w:rsidRDefault="00FF3DE0" w:rsidP="00FF3DE0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caps/>
          <w:sz w:val="24"/>
        </w:rPr>
      </w:pPr>
      <w:r>
        <w:rPr>
          <w:caps/>
          <w:noProof/>
          <w:sz w:val="24"/>
          <w:lang w:val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29210</wp:posOffset>
            </wp:positionV>
            <wp:extent cx="1596390" cy="506730"/>
            <wp:effectExtent l="19050" t="0" r="3810" b="0"/>
            <wp:wrapThrough wrapText="bothSides">
              <wp:wrapPolygon edited="0">
                <wp:start x="-258" y="0"/>
                <wp:lineTo x="-258" y="21113"/>
                <wp:lineTo x="21652" y="21113"/>
                <wp:lineTo x="21652" y="0"/>
                <wp:lineTo x="-258" y="0"/>
              </wp:wrapPolygon>
            </wp:wrapThrough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DE0" w:rsidRDefault="00FF3DE0" w:rsidP="00FF3DE0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caps/>
          <w:sz w:val="24"/>
        </w:rPr>
      </w:pPr>
    </w:p>
    <w:p w:rsidR="00FF3DE0" w:rsidRDefault="00FF3DE0" w:rsidP="00FF3DE0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caps/>
          <w:sz w:val="24"/>
        </w:rPr>
      </w:pPr>
    </w:p>
    <w:p w:rsidR="00FF3DE0" w:rsidRDefault="00FF3DE0" w:rsidP="00FF3DE0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caps/>
          <w:sz w:val="24"/>
        </w:rPr>
      </w:pPr>
    </w:p>
    <w:p w:rsidR="00A85779" w:rsidRDefault="004569F3" w:rsidP="00FF3DE0">
      <w:pPr>
        <w:pStyle w:val="Corpsdetexte"/>
        <w:shd w:val="clear" w:color="auto" w:fill="D6E3BC" w:themeFill="accent3" w:themeFillTint="66"/>
        <w:jc w:val="center"/>
      </w:pPr>
      <w:r w:rsidRPr="00FF3DE0">
        <w:rPr>
          <w:caps/>
          <w:sz w:val="24"/>
        </w:rPr>
        <w:t xml:space="preserve">Canevas </w:t>
      </w:r>
      <w:r w:rsidR="00A85779" w:rsidRPr="00FF3DE0">
        <w:rPr>
          <w:caps/>
          <w:sz w:val="24"/>
        </w:rPr>
        <w:t xml:space="preserve">SYNTHETIQUE </w:t>
      </w:r>
      <w:r w:rsidRPr="00FF3DE0">
        <w:rPr>
          <w:caps/>
          <w:sz w:val="24"/>
        </w:rPr>
        <w:t xml:space="preserve">de l'évaluation </w:t>
      </w:r>
      <w:r w:rsidR="0089307D" w:rsidRPr="00FF3DE0">
        <w:rPr>
          <w:caps/>
          <w:sz w:val="24"/>
        </w:rPr>
        <w:t>d’IMPACT d’</w:t>
      </w:r>
      <w:r w:rsidR="00163A8C" w:rsidRPr="00FF3DE0">
        <w:rPr>
          <w:caps/>
          <w:sz w:val="24"/>
        </w:rPr>
        <w:t>un PROJET SUR LA FL</w:t>
      </w:r>
      <w:r w:rsidR="0089307D" w:rsidRPr="00FF3DE0">
        <w:rPr>
          <w:caps/>
          <w:sz w:val="24"/>
        </w:rPr>
        <w:t>ORE ET LA FAUNE</w:t>
      </w:r>
    </w:p>
    <w:p w:rsidR="00FF3DE0" w:rsidRDefault="00FF3DE0" w:rsidP="00FF3DE0">
      <w:pPr>
        <w:rPr>
          <w:i/>
          <w:u w:val="single"/>
        </w:rPr>
      </w:pPr>
    </w:p>
    <w:p w:rsidR="004569F3" w:rsidRDefault="004569F3">
      <w:pPr>
        <w:rPr>
          <w:i/>
          <w:u w:val="single"/>
        </w:rPr>
      </w:pPr>
      <w:r>
        <w:rPr>
          <w:i/>
          <w:u w:val="single"/>
        </w:rPr>
        <w:t>Remarque préalable :</w:t>
      </w:r>
    </w:p>
    <w:p w:rsidR="004569F3" w:rsidRDefault="004569F3"/>
    <w:p w:rsidR="00163A8C" w:rsidRDefault="00695828" w:rsidP="00695828">
      <w:pPr>
        <w:ind w:right="142"/>
        <w:jc w:val="both"/>
      </w:pPr>
      <w:r>
        <w:t xml:space="preserve">Ce  canevas </w:t>
      </w:r>
      <w:r w:rsidR="0089307D">
        <w:t xml:space="preserve">doit guider l’évaluation de l’impact </w:t>
      </w:r>
      <w:r w:rsidR="00163A8C">
        <w:t xml:space="preserve">d’un </w:t>
      </w:r>
      <w:r>
        <w:t xml:space="preserve">projet sur </w:t>
      </w:r>
      <w:r w:rsidR="0089307D">
        <w:t>la flore et la faune, en particulier</w:t>
      </w:r>
      <w:r w:rsidR="00163A8C">
        <w:t> :</w:t>
      </w:r>
    </w:p>
    <w:p w:rsidR="00163A8C" w:rsidRDefault="0089307D" w:rsidP="00163A8C">
      <w:pPr>
        <w:pStyle w:val="Paragraphedeliste"/>
        <w:numPr>
          <w:ilvl w:val="0"/>
          <w:numId w:val="24"/>
        </w:numPr>
        <w:ind w:right="142"/>
        <w:jc w:val="both"/>
      </w:pPr>
      <w:r>
        <w:t xml:space="preserve">sur les sites </w:t>
      </w:r>
      <w:proofErr w:type="spellStart"/>
      <w:r>
        <w:t>Natura</w:t>
      </w:r>
      <w:proofErr w:type="spellEnd"/>
      <w:r>
        <w:t xml:space="preserve"> 2000 (habitats naturels</w:t>
      </w:r>
      <w:r w:rsidR="00163A8C">
        <w:t xml:space="preserve"> et </w:t>
      </w:r>
      <w:r>
        <w:t>espèces d’intér</w:t>
      </w:r>
      <w:r w:rsidR="00163A8C">
        <w:t>êt communautaire)</w:t>
      </w:r>
      <w:r w:rsidR="002E548A">
        <w:t>,</w:t>
      </w:r>
      <w:r w:rsidR="00163A8C">
        <w:t xml:space="preserve"> conformément au prescrit de l’article 29, § 2 de la loi du 12 juillet 1973 sur la conservation de la nature</w:t>
      </w:r>
      <w:r w:rsidR="002E548A">
        <w:rPr>
          <w:rStyle w:val="Appelnotedebasdep"/>
        </w:rPr>
        <w:footnoteReference w:id="1"/>
      </w:r>
      <w:r w:rsidR="00163A8C">
        <w:t> ;</w:t>
      </w:r>
    </w:p>
    <w:p w:rsidR="00695828" w:rsidRPr="001278FF" w:rsidRDefault="0089307D" w:rsidP="00163A8C">
      <w:pPr>
        <w:pStyle w:val="Paragraphedeliste"/>
        <w:numPr>
          <w:ilvl w:val="0"/>
          <w:numId w:val="24"/>
        </w:numPr>
        <w:ind w:right="142"/>
        <w:jc w:val="both"/>
      </w:pPr>
      <w:r>
        <w:t xml:space="preserve">sur les </w:t>
      </w:r>
      <w:r w:rsidR="00695828">
        <w:t>espèces protégées par la loi sur la conservation de la nature (articles 2 à 3 bis)</w:t>
      </w:r>
      <w:r w:rsidR="00163A8C">
        <w:t xml:space="preserve"> ; </w:t>
      </w:r>
      <w:r w:rsidR="00695828">
        <w:t xml:space="preserve"> </w:t>
      </w:r>
      <w:r w:rsidR="00163A8C">
        <w:t xml:space="preserve">une telle évaluation est notamment </w:t>
      </w:r>
      <w:r w:rsidR="00695828">
        <w:t>nécessaire pour appuyer un dossier de demande de dérogation aux mesures de protection des espèces (articles 5 et 5 bis de la LCN</w:t>
      </w:r>
      <w:r w:rsidR="00695828" w:rsidRPr="001278FF">
        <w:t xml:space="preserve">), </w:t>
      </w:r>
      <w:r w:rsidR="00695828" w:rsidRPr="001278FF">
        <w:rPr>
          <w:u w:val="single"/>
        </w:rPr>
        <w:t xml:space="preserve">dans ou en dehors d’un site </w:t>
      </w:r>
      <w:proofErr w:type="spellStart"/>
      <w:r w:rsidR="00695828" w:rsidRPr="001278FF">
        <w:rPr>
          <w:u w:val="single"/>
        </w:rPr>
        <w:t>Natura</w:t>
      </w:r>
      <w:proofErr w:type="spellEnd"/>
      <w:r w:rsidR="00695828" w:rsidRPr="001278FF">
        <w:rPr>
          <w:u w:val="single"/>
        </w:rPr>
        <w:t xml:space="preserve"> 2000</w:t>
      </w:r>
      <w:r w:rsidR="00695828" w:rsidRPr="001278FF">
        <w:t>.</w:t>
      </w:r>
    </w:p>
    <w:p w:rsidR="00695828" w:rsidRPr="001278FF" w:rsidRDefault="00695828" w:rsidP="00186D9C">
      <w:pPr>
        <w:ind w:right="142"/>
        <w:jc w:val="both"/>
      </w:pPr>
    </w:p>
    <w:p w:rsidR="008E5203" w:rsidRDefault="00163A8C" w:rsidP="00695828">
      <w:pPr>
        <w:jc w:val="both"/>
      </w:pPr>
      <w:r>
        <w:t>L’évaluation peut notamment s’appuyer</w:t>
      </w:r>
      <w:r w:rsidR="00695828">
        <w:t xml:space="preserve">, le cas échéant, </w:t>
      </w:r>
      <w:r w:rsidR="008E5203" w:rsidRPr="008E5203">
        <w:t xml:space="preserve">sur </w:t>
      </w:r>
      <w:r w:rsidR="004569F3" w:rsidRPr="008E5203">
        <w:t xml:space="preserve">la fiche décrivant le site </w:t>
      </w:r>
      <w:proofErr w:type="spellStart"/>
      <w:r w:rsidR="004569F3" w:rsidRPr="008E5203">
        <w:t>Natura</w:t>
      </w:r>
      <w:proofErr w:type="spellEnd"/>
      <w:r w:rsidR="004569F3" w:rsidRPr="008E5203">
        <w:t xml:space="preserve"> 2000 (lien de recherche : </w:t>
      </w:r>
      <w:hyperlink r:id="rId9" w:history="1">
        <w:r w:rsidR="004569F3" w:rsidRPr="008E5203">
          <w:rPr>
            <w:rStyle w:val="Lienhypertexte"/>
          </w:rPr>
          <w:t>http://biodiversite.wallonie.be/sites/natura2000/n2000formsite.html</w:t>
        </w:r>
      </w:hyperlink>
      <w:r w:rsidR="004569F3" w:rsidRPr="008E5203">
        <w:t>)</w:t>
      </w:r>
      <w:r w:rsidR="002C1D55">
        <w:t>,</w:t>
      </w:r>
      <w:r w:rsidR="00695828">
        <w:t xml:space="preserve"> sur l’arrêté de désignation du site </w:t>
      </w:r>
      <w:proofErr w:type="spellStart"/>
      <w:r w:rsidR="00695828">
        <w:t>Natura</w:t>
      </w:r>
      <w:proofErr w:type="spellEnd"/>
      <w:r w:rsidR="00695828">
        <w:t xml:space="preserve"> 2000, </w:t>
      </w:r>
      <w:r w:rsidR="008E5203" w:rsidRPr="008E5203">
        <w:t xml:space="preserve">sur toutes les données biologiques validées </w:t>
      </w:r>
      <w:r w:rsidR="002C1D55">
        <w:t xml:space="preserve">(voir notamment sur biodiversite.wallonie.be) </w:t>
      </w:r>
      <w:r w:rsidR="008E5203" w:rsidRPr="008E5203">
        <w:t xml:space="preserve">et sur les données biologiques </w:t>
      </w:r>
      <w:r w:rsidR="00846676">
        <w:t xml:space="preserve">collectées </w:t>
      </w:r>
      <w:r w:rsidR="008E5203" w:rsidRPr="008E5203">
        <w:t>complémentaire</w:t>
      </w:r>
      <w:r w:rsidR="00846676">
        <w:t>ment</w:t>
      </w:r>
      <w:r>
        <w:t>. L</w:t>
      </w:r>
      <w:r w:rsidR="008E5203" w:rsidRPr="008E5203">
        <w:t xml:space="preserve">’évaluation </w:t>
      </w:r>
      <w:r w:rsidR="00133AD7">
        <w:t xml:space="preserve">appropriée </w:t>
      </w:r>
      <w:r w:rsidR="008E5203" w:rsidRPr="008E5203">
        <w:t>des incidences comprendra au minimum les éléments visés dans le canevas ci-dessous.</w:t>
      </w:r>
    </w:p>
    <w:p w:rsidR="004569F3" w:rsidRDefault="004569F3" w:rsidP="00186D9C">
      <w:pPr>
        <w:ind w:right="142"/>
        <w:jc w:val="both"/>
      </w:pPr>
    </w:p>
    <w:p w:rsidR="008E5203" w:rsidRDefault="008E5203" w:rsidP="00186D9C">
      <w:pPr>
        <w:pStyle w:val="En-tte"/>
        <w:tabs>
          <w:tab w:val="clear" w:pos="4536"/>
          <w:tab w:val="clear" w:pos="9072"/>
        </w:tabs>
        <w:jc w:val="both"/>
      </w:pPr>
      <w:r>
        <w:t>La collecte de données biologiques sera réalisée par des personnes spécialisées. C</w:t>
      </w:r>
      <w:r w:rsidR="00846676">
        <w:t>elles</w:t>
      </w:r>
      <w:r>
        <w:t>-ci veilleront à appliquer des méthodologiques adaptées aux groupes biologiques suivis</w:t>
      </w:r>
      <w:r w:rsidR="00846676">
        <w:t>,</w:t>
      </w:r>
      <w:r>
        <w:t xml:space="preserve"> notamment en ce qui concerne la période des relevés. </w:t>
      </w:r>
      <w:r w:rsidR="00846676">
        <w:t>Préalablement à la</w:t>
      </w:r>
      <w:r>
        <w:t xml:space="preserve"> collecte de données biologiques complémentaires, il est recommandé de consulter le Département de la Nature et des Forêts (agent « nature » de la direction extérieure concernée) afin d’identifier les principaux enjeux.</w:t>
      </w:r>
    </w:p>
    <w:p w:rsidR="008E5203" w:rsidRDefault="008E5203" w:rsidP="00186D9C">
      <w:pPr>
        <w:pStyle w:val="En-tte"/>
        <w:tabs>
          <w:tab w:val="clear" w:pos="4536"/>
          <w:tab w:val="clear" w:pos="9072"/>
        </w:tabs>
        <w:jc w:val="both"/>
      </w:pPr>
    </w:p>
    <w:p w:rsidR="00B45C4E" w:rsidRDefault="00B45C4E" w:rsidP="00186D9C">
      <w:pPr>
        <w:pStyle w:val="En-tte"/>
        <w:tabs>
          <w:tab w:val="clear" w:pos="4536"/>
          <w:tab w:val="clear" w:pos="9072"/>
        </w:tabs>
        <w:jc w:val="both"/>
      </w:pPr>
    </w:p>
    <w:p w:rsidR="008E5203" w:rsidRPr="003740E1" w:rsidRDefault="008E5203" w:rsidP="00186D9C">
      <w:pPr>
        <w:pStyle w:val="En-tte"/>
        <w:tabs>
          <w:tab w:val="clear" w:pos="4536"/>
          <w:tab w:val="clear" w:pos="9072"/>
        </w:tabs>
        <w:jc w:val="both"/>
        <w:rPr>
          <w:b/>
          <w:u w:val="single"/>
        </w:rPr>
      </w:pPr>
      <w:r w:rsidRPr="003740E1">
        <w:rPr>
          <w:b/>
          <w:u w:val="single"/>
        </w:rPr>
        <w:t>Canevas type</w:t>
      </w:r>
    </w:p>
    <w:p w:rsidR="008E5203" w:rsidRDefault="008E5203" w:rsidP="00186D9C">
      <w:pPr>
        <w:pStyle w:val="En-tte"/>
        <w:tabs>
          <w:tab w:val="clear" w:pos="4536"/>
          <w:tab w:val="clear" w:pos="9072"/>
        </w:tabs>
        <w:jc w:val="both"/>
      </w:pPr>
    </w:p>
    <w:p w:rsidR="004569F3" w:rsidRPr="00FF3DE0" w:rsidRDefault="004569F3" w:rsidP="00186D9C">
      <w:pPr>
        <w:jc w:val="both"/>
        <w:rPr>
          <w:b/>
          <w:i/>
          <w:u w:val="single"/>
        </w:rPr>
      </w:pPr>
      <w:r w:rsidRPr="00FF3DE0">
        <w:rPr>
          <w:b/>
          <w:i/>
          <w:u w:val="single"/>
        </w:rPr>
        <w:t xml:space="preserve">1. </w:t>
      </w:r>
      <w:r w:rsidR="008E5203" w:rsidRPr="00FF3DE0">
        <w:rPr>
          <w:b/>
          <w:i/>
          <w:u w:val="single"/>
        </w:rPr>
        <w:t xml:space="preserve">Présentation du </w:t>
      </w:r>
      <w:r w:rsidR="00850A56" w:rsidRPr="00FF3DE0">
        <w:rPr>
          <w:b/>
          <w:i/>
          <w:u w:val="single"/>
        </w:rPr>
        <w:t>p</w:t>
      </w:r>
      <w:r w:rsidR="008E5203" w:rsidRPr="00FF3DE0">
        <w:rPr>
          <w:b/>
          <w:i/>
          <w:u w:val="single"/>
        </w:rPr>
        <w:t>rojet</w:t>
      </w:r>
      <w:r w:rsidRPr="00FF3DE0">
        <w:rPr>
          <w:b/>
          <w:i/>
          <w:u w:val="single"/>
        </w:rPr>
        <w:t xml:space="preserve">, </w:t>
      </w:r>
      <w:r w:rsidR="00846676" w:rsidRPr="00FF3DE0">
        <w:rPr>
          <w:b/>
          <w:i/>
          <w:u w:val="single"/>
        </w:rPr>
        <w:t>l</w:t>
      </w:r>
      <w:r w:rsidRPr="00FF3DE0">
        <w:rPr>
          <w:b/>
          <w:i/>
          <w:u w:val="single"/>
        </w:rPr>
        <w:t xml:space="preserve">ocalisation et </w:t>
      </w:r>
      <w:r w:rsidR="00846676" w:rsidRPr="00FF3DE0">
        <w:rPr>
          <w:b/>
          <w:i/>
          <w:u w:val="single"/>
        </w:rPr>
        <w:t xml:space="preserve">situation </w:t>
      </w:r>
      <w:proofErr w:type="spellStart"/>
      <w:r w:rsidR="00846676" w:rsidRPr="00FF3DE0">
        <w:rPr>
          <w:b/>
          <w:i/>
          <w:u w:val="single"/>
        </w:rPr>
        <w:t>planologique</w:t>
      </w:r>
      <w:proofErr w:type="spellEnd"/>
    </w:p>
    <w:p w:rsidR="004569F3" w:rsidRDefault="004569F3" w:rsidP="00186D9C">
      <w:pPr>
        <w:jc w:val="both"/>
      </w:pPr>
    </w:p>
    <w:p w:rsidR="00186D9C" w:rsidRDefault="004569F3" w:rsidP="00186D9C">
      <w:pPr>
        <w:pStyle w:val="Paragraphedeliste"/>
        <w:numPr>
          <w:ilvl w:val="1"/>
          <w:numId w:val="19"/>
        </w:numPr>
        <w:jc w:val="both"/>
      </w:pPr>
      <w:r>
        <w:t>Identité du demandeur</w:t>
      </w:r>
    </w:p>
    <w:p w:rsidR="00186D9C" w:rsidRDefault="00186D9C" w:rsidP="00186D9C">
      <w:pPr>
        <w:pStyle w:val="Paragraphedeliste"/>
        <w:ind w:left="1069"/>
        <w:jc w:val="both"/>
      </w:pPr>
    </w:p>
    <w:p w:rsidR="004569F3" w:rsidRDefault="008E5203" w:rsidP="00186D9C">
      <w:pPr>
        <w:pStyle w:val="Paragraphedeliste"/>
        <w:numPr>
          <w:ilvl w:val="1"/>
          <w:numId w:val="19"/>
        </w:numPr>
        <w:jc w:val="both"/>
      </w:pPr>
      <w:r>
        <w:t xml:space="preserve">Présentation </w:t>
      </w:r>
      <w:r w:rsidR="004569F3">
        <w:t>du projet</w:t>
      </w:r>
    </w:p>
    <w:p w:rsidR="003740E1" w:rsidRDefault="00A85779" w:rsidP="00186D9C">
      <w:pPr>
        <w:numPr>
          <w:ilvl w:val="0"/>
          <w:numId w:val="16"/>
        </w:numPr>
        <w:jc w:val="both"/>
      </w:pPr>
      <w:r>
        <w:t xml:space="preserve">Description du projet </w:t>
      </w:r>
      <w:r w:rsidR="003740E1">
        <w:t xml:space="preserve"> (avec</w:t>
      </w:r>
      <w:r w:rsidR="00846676">
        <w:t xml:space="preserve"> si possible </w:t>
      </w:r>
      <w:r w:rsidR="003740E1">
        <w:t>une carte de l'état actuel et de la situation projetée)</w:t>
      </w:r>
    </w:p>
    <w:p w:rsidR="00A85779" w:rsidRDefault="003740E1" w:rsidP="00186D9C">
      <w:pPr>
        <w:numPr>
          <w:ilvl w:val="0"/>
          <w:numId w:val="16"/>
        </w:numPr>
        <w:jc w:val="both"/>
      </w:pPr>
      <w:r>
        <w:t>Enumération des différentes actions du projet qui porteront atteintes aux habitats et espèces</w:t>
      </w:r>
      <w:r w:rsidR="00695828">
        <w:t xml:space="preserve"> </w:t>
      </w:r>
    </w:p>
    <w:p w:rsidR="003740E1" w:rsidRDefault="003740E1" w:rsidP="00186D9C">
      <w:pPr>
        <w:numPr>
          <w:ilvl w:val="0"/>
          <w:numId w:val="16"/>
        </w:numPr>
        <w:jc w:val="both"/>
      </w:pPr>
      <w:r>
        <w:t>Calendrier de réalisation du projet avec, l</w:t>
      </w:r>
      <w:r w:rsidR="00A85779">
        <w:t>e cas échéant</w:t>
      </w:r>
      <w:r>
        <w:t>,</w:t>
      </w:r>
      <w:r w:rsidR="00A85779">
        <w:t xml:space="preserve"> précision de ses différentes phases</w:t>
      </w:r>
    </w:p>
    <w:p w:rsidR="00A85779" w:rsidRDefault="00A85779" w:rsidP="003740E1">
      <w:pPr>
        <w:numPr>
          <w:ilvl w:val="0"/>
          <w:numId w:val="16"/>
        </w:numPr>
      </w:pPr>
      <w:r>
        <w:t>Motif qui sous-tend le projet</w:t>
      </w:r>
      <w:r>
        <w:rPr>
          <w:rStyle w:val="Appelnotedebasdep"/>
        </w:rPr>
        <w:footnoteReference w:id="2"/>
      </w:r>
    </w:p>
    <w:p w:rsidR="008E5203" w:rsidRDefault="008E5203">
      <w:pPr>
        <w:ind w:firstLine="709"/>
      </w:pPr>
    </w:p>
    <w:p w:rsidR="004569F3" w:rsidRDefault="004569F3">
      <w:pPr>
        <w:ind w:firstLine="709"/>
      </w:pPr>
      <w:r>
        <w:t>1.3 Localisation du site et statuts de protection</w:t>
      </w:r>
    </w:p>
    <w:p w:rsidR="003740E1" w:rsidRDefault="003740E1">
      <w:pPr>
        <w:ind w:firstLine="709"/>
      </w:pPr>
    </w:p>
    <w:p w:rsidR="003740E1" w:rsidRDefault="004569F3" w:rsidP="00DD51EF">
      <w:pPr>
        <w:ind w:left="1276"/>
      </w:pPr>
      <w:r>
        <w:t xml:space="preserve">1.3.1 </w:t>
      </w:r>
      <w:r w:rsidR="00DD51EF">
        <w:t xml:space="preserve">Identification </w:t>
      </w:r>
      <w:r>
        <w:t xml:space="preserve">du site </w:t>
      </w:r>
      <w:r w:rsidR="003740E1">
        <w:t>dans lequel s’inscrit le projet</w:t>
      </w:r>
    </w:p>
    <w:p w:rsidR="00DD51EF" w:rsidRDefault="00DD51EF" w:rsidP="008F0284"/>
    <w:p w:rsidR="004569F3" w:rsidRDefault="003740E1">
      <w:pPr>
        <w:ind w:left="568" w:firstLine="708"/>
      </w:pPr>
      <w:r>
        <w:t>1.3.</w:t>
      </w:r>
      <w:r w:rsidR="008F0284">
        <w:t>2</w:t>
      </w:r>
      <w:r>
        <w:t xml:space="preserve"> Statut du site au plan </w:t>
      </w:r>
      <w:r w:rsidR="004569F3">
        <w:t>de Secteur</w:t>
      </w:r>
    </w:p>
    <w:p w:rsidR="003740E1" w:rsidRDefault="003740E1">
      <w:pPr>
        <w:ind w:left="568" w:firstLine="708"/>
      </w:pPr>
    </w:p>
    <w:p w:rsidR="004569F3" w:rsidRDefault="004569F3">
      <w:pPr>
        <w:pStyle w:val="Retraitcorpsdetexte2"/>
      </w:pPr>
      <w:r>
        <w:t>1.3.</w:t>
      </w:r>
      <w:r w:rsidR="008F0284">
        <w:t>3</w:t>
      </w:r>
      <w:r w:rsidR="003740E1">
        <w:t xml:space="preserve"> </w:t>
      </w:r>
      <w:r>
        <w:t>Statuts de protection du milieu naturel au sens de la Loi sur la conservation de la Nature du 12 juillet 1973</w:t>
      </w:r>
      <w:r w:rsidR="00695828">
        <w:t xml:space="preserve">, localisation éventuelle de sites </w:t>
      </w:r>
      <w:proofErr w:type="spellStart"/>
      <w:r w:rsidR="00695828">
        <w:t>Natura</w:t>
      </w:r>
      <w:proofErr w:type="spellEnd"/>
      <w:r w:rsidR="00695828">
        <w:t xml:space="preserve"> 2000 à proximité du projet</w:t>
      </w:r>
      <w:r w:rsidR="003740E1">
        <w:t xml:space="preserve"> et</w:t>
      </w:r>
      <w:r w:rsidR="00846676">
        <w:t>,</w:t>
      </w:r>
      <w:r w:rsidR="003740E1">
        <w:t xml:space="preserve"> le cas échéant</w:t>
      </w:r>
      <w:r w:rsidR="00846676">
        <w:t>,</w:t>
      </w:r>
      <w:r w:rsidR="003740E1">
        <w:t xml:space="preserve"> identification des sites de grand intérêt biolo</w:t>
      </w:r>
      <w:r w:rsidR="008F0284">
        <w:t>gique</w:t>
      </w:r>
      <w:r w:rsidR="008F0284">
        <w:rPr>
          <w:rStyle w:val="Appelnotedebasdep"/>
        </w:rPr>
        <w:footnoteReference w:id="3"/>
      </w:r>
    </w:p>
    <w:p w:rsidR="008F0284" w:rsidRDefault="008F0284">
      <w:pPr>
        <w:pStyle w:val="Retraitcorpsdetexte2"/>
      </w:pPr>
    </w:p>
    <w:p w:rsidR="008F0284" w:rsidRDefault="008F0284" w:rsidP="008F0284">
      <w:pPr>
        <w:ind w:left="568" w:firstLine="708"/>
      </w:pPr>
      <w:r>
        <w:t xml:space="preserve">1.3.4  Localisation de la zone d’implantation du projet et de sa zone d’impact </w:t>
      </w:r>
    </w:p>
    <w:p w:rsidR="008F0284" w:rsidRDefault="008F0284" w:rsidP="008F0284">
      <w:pPr>
        <w:ind w:left="1984" w:firstLine="140"/>
      </w:pPr>
      <w:r>
        <w:t>(</w:t>
      </w:r>
      <w:proofErr w:type="gramStart"/>
      <w:r>
        <w:t>sur</w:t>
      </w:r>
      <w:proofErr w:type="gramEnd"/>
      <w:r>
        <w:t xml:space="preserve"> une carte  à l’échelle </w:t>
      </w:r>
      <w:r w:rsidR="00133AD7">
        <w:t>/10.000 ou plus précise</w:t>
      </w:r>
      <w:r>
        <w:t>)</w:t>
      </w:r>
    </w:p>
    <w:p w:rsidR="00B45C4E" w:rsidRDefault="00B45C4E" w:rsidP="008F0284">
      <w:pPr>
        <w:ind w:left="1984" w:firstLine="140"/>
      </w:pPr>
    </w:p>
    <w:p w:rsidR="00B45C4E" w:rsidRDefault="00B45C4E" w:rsidP="00B45C4E">
      <w:pPr>
        <w:ind w:left="709"/>
      </w:pPr>
      <w:r w:rsidRPr="00762ADB">
        <w:t>1.4. Identification des alternatives</w:t>
      </w:r>
    </w:p>
    <w:p w:rsidR="004569F3" w:rsidRDefault="004569F3"/>
    <w:p w:rsidR="00B45C4E" w:rsidRDefault="00762ADB" w:rsidP="00186D9C">
      <w:pPr>
        <w:jc w:val="both"/>
      </w:pPr>
      <w:r>
        <w:tab/>
        <w:t>En cas d’impact négatif sur un</w:t>
      </w:r>
      <w:r w:rsidR="00695828">
        <w:t xml:space="preserve"> habitat d’intérêt communautaire présent dans un site </w:t>
      </w:r>
      <w:proofErr w:type="spellStart"/>
      <w:r w:rsidR="00695828">
        <w:t>Natura</w:t>
      </w:r>
      <w:proofErr w:type="spellEnd"/>
      <w:r w:rsidR="00695828">
        <w:t xml:space="preserve"> 2000,</w:t>
      </w:r>
      <w:r>
        <w:t xml:space="preserve"> sur une espèce d’intérêt communautaire présente dans un site </w:t>
      </w:r>
      <w:proofErr w:type="spellStart"/>
      <w:r>
        <w:t>Natura</w:t>
      </w:r>
      <w:proofErr w:type="spellEnd"/>
      <w:r>
        <w:t xml:space="preserve"> 2000 ou sur </w:t>
      </w:r>
      <w:r w:rsidR="00695828">
        <w:t xml:space="preserve">une ou </w:t>
      </w:r>
      <w:r>
        <w:t>des espèces protégées, il y a lieu de pouvoir justifier l’absence d’alternative et dès lors de présenter les différentes alternatives qui ont été étudiées et la raison de leur rejet.</w:t>
      </w:r>
    </w:p>
    <w:p w:rsidR="00B45C4E" w:rsidRDefault="00B45C4E" w:rsidP="00186D9C">
      <w:pPr>
        <w:jc w:val="both"/>
      </w:pPr>
    </w:p>
    <w:p w:rsidR="002E548A" w:rsidRDefault="002E548A"/>
    <w:p w:rsidR="004569F3" w:rsidRPr="00FF3DE0" w:rsidRDefault="008F0284">
      <w:pPr>
        <w:rPr>
          <w:b/>
          <w:i/>
          <w:u w:val="single"/>
        </w:rPr>
      </w:pPr>
      <w:r w:rsidRPr="00FF3DE0">
        <w:rPr>
          <w:b/>
          <w:i/>
          <w:u w:val="single"/>
        </w:rPr>
        <w:t>2</w:t>
      </w:r>
      <w:r w:rsidR="004569F3" w:rsidRPr="00FF3DE0">
        <w:rPr>
          <w:b/>
          <w:i/>
          <w:u w:val="single"/>
        </w:rPr>
        <w:t>. Description du milieu naturel (avec si possible carte à l'appui)</w:t>
      </w:r>
    </w:p>
    <w:p w:rsidR="004569F3" w:rsidRDefault="004569F3"/>
    <w:p w:rsidR="00762ADB" w:rsidRDefault="00186D9C">
      <w:pPr>
        <w:ind w:firstLine="708"/>
      </w:pPr>
      <w:r>
        <w:t>2</w:t>
      </w:r>
      <w:r w:rsidR="00762ADB">
        <w:t xml:space="preserve">. 1. </w:t>
      </w:r>
      <w:r w:rsidR="002E548A">
        <w:t>A</w:t>
      </w:r>
      <w:r w:rsidR="0089307D">
        <w:t xml:space="preserve">uteur de l’étude et </w:t>
      </w:r>
      <w:r w:rsidR="00762ADB">
        <w:t>méthodologie</w:t>
      </w:r>
    </w:p>
    <w:p w:rsidR="00762ADB" w:rsidRDefault="00762ADB" w:rsidP="00846676">
      <w:pPr>
        <w:spacing w:before="240"/>
        <w:ind w:firstLine="708"/>
        <w:jc w:val="both"/>
      </w:pPr>
      <w:r>
        <w:t xml:space="preserve">Dans le cas où des collectes de données complémentaires sont réalisées, l’identité de la ou des personnes qui ont </w:t>
      </w:r>
      <w:r w:rsidR="00846676">
        <w:t>procédé</w:t>
      </w:r>
      <w:r>
        <w:t xml:space="preserve"> à la collecte</w:t>
      </w:r>
      <w:r w:rsidR="00846676">
        <w:t>,</w:t>
      </w:r>
      <w:r>
        <w:t xml:space="preserve"> ainsi que la ou les métho</w:t>
      </w:r>
      <w:r w:rsidR="0089307D">
        <w:t>do</w:t>
      </w:r>
      <w:r>
        <w:t>logies utilisées seront mentionnées</w:t>
      </w:r>
      <w:r w:rsidR="00186D9C">
        <w:t>.</w:t>
      </w:r>
    </w:p>
    <w:p w:rsidR="00762ADB" w:rsidRDefault="00762ADB">
      <w:pPr>
        <w:ind w:firstLine="708"/>
      </w:pPr>
    </w:p>
    <w:p w:rsidR="004569F3" w:rsidRDefault="00186D9C">
      <w:pPr>
        <w:ind w:firstLine="708"/>
      </w:pPr>
      <w:r>
        <w:t>2</w:t>
      </w:r>
      <w:r w:rsidR="004569F3">
        <w:t>.</w:t>
      </w:r>
      <w:r>
        <w:t xml:space="preserve"> </w:t>
      </w:r>
      <w:r w:rsidR="00762ADB">
        <w:t xml:space="preserve">2 </w:t>
      </w:r>
      <w:r w:rsidR="004569F3">
        <w:t>Habitats</w:t>
      </w:r>
    </w:p>
    <w:p w:rsidR="008F0284" w:rsidRDefault="008F0284" w:rsidP="00846676">
      <w:pPr>
        <w:pStyle w:val="Paragraphedeliste"/>
        <w:numPr>
          <w:ilvl w:val="0"/>
          <w:numId w:val="20"/>
        </w:numPr>
        <w:spacing w:before="240"/>
        <w:jc w:val="both"/>
      </w:pPr>
      <w:r>
        <w:t>Identification des habitats présents sur le site selon la classification WALEUNIS</w:t>
      </w:r>
      <w:r w:rsidR="00FF3DE0">
        <w:rPr>
          <w:rStyle w:val="Appelnotedebasdep"/>
        </w:rPr>
        <w:footnoteReference w:id="4"/>
      </w:r>
      <w:r>
        <w:t>, jusqu’au niveau 3</w:t>
      </w:r>
      <w:r>
        <w:rPr>
          <w:rStyle w:val="Appelnotedebasdep"/>
        </w:rPr>
        <w:footnoteReference w:id="5"/>
      </w:r>
      <w:r>
        <w:t>.</w:t>
      </w:r>
    </w:p>
    <w:p w:rsidR="004E7B35" w:rsidRDefault="0089307D" w:rsidP="004E7B35">
      <w:pPr>
        <w:spacing w:before="240" w:after="240"/>
        <w:ind w:firstLine="708"/>
        <w:jc w:val="both"/>
      </w:pPr>
      <w:r>
        <w:t xml:space="preserve">2.3 </w:t>
      </w:r>
      <w:proofErr w:type="spellStart"/>
      <w:r>
        <w:t>Natura</w:t>
      </w:r>
      <w:proofErr w:type="spellEnd"/>
      <w:r>
        <w:t xml:space="preserve"> 2000</w:t>
      </w:r>
    </w:p>
    <w:p w:rsidR="008F0284" w:rsidRDefault="008F0284" w:rsidP="00846676">
      <w:pPr>
        <w:pStyle w:val="Paragraphedeliste"/>
        <w:numPr>
          <w:ilvl w:val="0"/>
          <w:numId w:val="20"/>
        </w:numPr>
        <w:jc w:val="both"/>
      </w:pPr>
      <w:r>
        <w:t>Dans le cas où le projet induit la détérioration ou la destruction d’habitats</w:t>
      </w:r>
      <w:r w:rsidR="0089307D">
        <w:t xml:space="preserve"> naturels</w:t>
      </w:r>
      <w:r w:rsidR="00695828">
        <w:t xml:space="preserve"> </w:t>
      </w:r>
      <w:r w:rsidR="0089307D">
        <w:t xml:space="preserve">d’intérêt communautaire </w:t>
      </w:r>
      <w:r w:rsidR="00695828">
        <w:t xml:space="preserve">présents dans un site </w:t>
      </w:r>
      <w:proofErr w:type="spellStart"/>
      <w:r w:rsidR="00695828">
        <w:t>Natura</w:t>
      </w:r>
      <w:proofErr w:type="spellEnd"/>
      <w:r w:rsidR="00695828">
        <w:t xml:space="preserve"> 2000</w:t>
      </w:r>
      <w:r>
        <w:t>, il y a lieu de cartographier ces habitats.</w:t>
      </w:r>
    </w:p>
    <w:p w:rsidR="008F0284" w:rsidRDefault="008F0284">
      <w:pPr>
        <w:ind w:firstLine="708"/>
      </w:pPr>
    </w:p>
    <w:p w:rsidR="004569F3" w:rsidRDefault="00186D9C">
      <w:pPr>
        <w:ind w:firstLine="708"/>
      </w:pPr>
      <w:r>
        <w:t>2</w:t>
      </w:r>
      <w:r w:rsidR="004569F3">
        <w:t>.</w:t>
      </w:r>
      <w:r>
        <w:t xml:space="preserve"> </w:t>
      </w:r>
      <w:r w:rsidR="0089307D">
        <w:t xml:space="preserve">4 </w:t>
      </w:r>
      <w:r w:rsidR="004569F3">
        <w:t>Espèces</w:t>
      </w:r>
    </w:p>
    <w:p w:rsidR="008F0284" w:rsidRDefault="00B45C4E" w:rsidP="00846676">
      <w:pPr>
        <w:pStyle w:val="Paragraphedeliste"/>
        <w:numPr>
          <w:ilvl w:val="0"/>
          <w:numId w:val="18"/>
        </w:numPr>
        <w:spacing w:before="240"/>
        <w:jc w:val="both"/>
      </w:pPr>
      <w:r>
        <w:t>Liste des espèces protégées présentes sur le site</w:t>
      </w:r>
      <w:r w:rsidR="0089307D">
        <w:t>, en précisant</w:t>
      </w:r>
      <w:r w:rsidR="00850A56">
        <w:t xml:space="preserve"> celles qui sont d’intérêt communautaire,</w:t>
      </w:r>
      <w:r>
        <w:t xml:space="preserve"> avec</w:t>
      </w:r>
      <w:r w:rsidR="00846676">
        <w:t>,</w:t>
      </w:r>
      <w:r w:rsidR="00204867">
        <w:t xml:space="preserve"> pour chacune d’elle</w:t>
      </w:r>
      <w:r w:rsidR="002E548A">
        <w:t>,</w:t>
      </w:r>
      <w:r>
        <w:t xml:space="preserve"> mention de la source des données et du statut d’occupation (nicheur, hivernant, …).</w:t>
      </w:r>
    </w:p>
    <w:p w:rsidR="00204867" w:rsidRDefault="00204867" w:rsidP="00846676">
      <w:pPr>
        <w:pStyle w:val="Paragraphedeliste"/>
        <w:numPr>
          <w:ilvl w:val="0"/>
          <w:numId w:val="18"/>
        </w:numPr>
        <w:jc w:val="both"/>
      </w:pPr>
      <w:r>
        <w:t>Identification des espèces prioritaires et des habitats prioritaires</w:t>
      </w:r>
      <w:r>
        <w:rPr>
          <w:rStyle w:val="Appelnotedebasdep"/>
        </w:rPr>
        <w:footnoteReference w:id="6"/>
      </w:r>
    </w:p>
    <w:p w:rsidR="00762ADB" w:rsidRDefault="00762ADB">
      <w:pPr>
        <w:ind w:firstLine="708"/>
      </w:pPr>
    </w:p>
    <w:p w:rsidR="00762ADB" w:rsidRDefault="00762ADB">
      <w:pPr>
        <w:ind w:firstLine="708"/>
      </w:pPr>
      <w:r>
        <w:t>3.4 Niveau d’enjeu</w:t>
      </w:r>
    </w:p>
    <w:p w:rsidR="00762ADB" w:rsidRDefault="00762ADB" w:rsidP="00846676">
      <w:pPr>
        <w:spacing w:before="240"/>
        <w:ind w:firstLine="708"/>
        <w:jc w:val="both"/>
      </w:pPr>
      <w:r>
        <w:t>Au regard des habitats et espèces présents dans la zone d’impact (nombre, statut, degré d’isolement…</w:t>
      </w:r>
      <w:r w:rsidR="00204867">
        <w:t xml:space="preserve">), </w:t>
      </w:r>
      <w:r>
        <w:t>identification du niveau d’enjeu (faible, moyen, fort ou majeur).</w:t>
      </w:r>
    </w:p>
    <w:p w:rsidR="004569F3" w:rsidRDefault="004569F3">
      <w:pPr>
        <w:rPr>
          <w:u w:val="single"/>
        </w:rPr>
      </w:pPr>
    </w:p>
    <w:p w:rsidR="004569F3" w:rsidRPr="00FF3DE0" w:rsidRDefault="00186D9C">
      <w:pPr>
        <w:rPr>
          <w:b/>
          <w:i/>
          <w:u w:val="single"/>
        </w:rPr>
      </w:pPr>
      <w:r w:rsidRPr="00FF3DE0">
        <w:rPr>
          <w:b/>
          <w:i/>
          <w:u w:val="single"/>
        </w:rPr>
        <w:t>3</w:t>
      </w:r>
      <w:r w:rsidR="004569F3" w:rsidRPr="00FF3DE0">
        <w:rPr>
          <w:b/>
          <w:i/>
          <w:u w:val="single"/>
        </w:rPr>
        <w:t>. Impact sur le milieu naturel</w:t>
      </w:r>
    </w:p>
    <w:p w:rsidR="004569F3" w:rsidRDefault="004569F3"/>
    <w:p w:rsidR="00186D9C" w:rsidRDefault="00186D9C" w:rsidP="004E7B35">
      <w:pPr>
        <w:ind w:firstLine="708"/>
        <w:jc w:val="both"/>
      </w:pPr>
      <w:r>
        <w:t xml:space="preserve">Pour chacune des espèces protégées, </w:t>
      </w:r>
      <w:r w:rsidR="002E548A">
        <w:t xml:space="preserve">et, dans un site </w:t>
      </w:r>
      <w:proofErr w:type="spellStart"/>
      <w:r w:rsidR="002E548A">
        <w:t>Natura</w:t>
      </w:r>
      <w:proofErr w:type="spellEnd"/>
      <w:r w:rsidR="002E548A">
        <w:t xml:space="preserve"> 2000, pour chacun </w:t>
      </w:r>
      <w:r>
        <w:t>des habitats d’intérêt communautaire</w:t>
      </w:r>
      <w:r w:rsidR="002C1D55">
        <w:t xml:space="preserve"> </w:t>
      </w:r>
      <w:r w:rsidR="002E548A">
        <w:t xml:space="preserve">ou des espèces d’intérêt communautaire </w:t>
      </w:r>
      <w:r w:rsidR="002C1D55">
        <w:t>présents</w:t>
      </w:r>
      <w:r>
        <w:t>, il y a lieu de mentionner :</w:t>
      </w:r>
    </w:p>
    <w:p w:rsidR="00186D9C" w:rsidRPr="00186D9C" w:rsidRDefault="00186D9C" w:rsidP="00186D9C">
      <w:pPr>
        <w:pStyle w:val="Listecouleur-Accent11"/>
        <w:numPr>
          <w:ilvl w:val="1"/>
          <w:numId w:val="21"/>
        </w:numPr>
        <w:jc w:val="both"/>
        <w:rPr>
          <w:rFonts w:ascii="Times New Roman" w:hAnsi="Times New Roman"/>
          <w:sz w:val="20"/>
          <w:szCs w:val="20"/>
          <w:lang w:val="fr-BE"/>
        </w:rPr>
      </w:pPr>
      <w:r w:rsidRPr="00186D9C">
        <w:rPr>
          <w:rFonts w:ascii="Times New Roman" w:hAnsi="Times New Roman"/>
          <w:sz w:val="20"/>
          <w:szCs w:val="20"/>
          <w:lang w:val="fr-BE"/>
        </w:rPr>
        <w:t>le type d’impact à attendre (détérioration d’habitats, destruction d’habitats, destruction d’individus, perturbation d’individus</w:t>
      </w:r>
      <w:r>
        <w:rPr>
          <w:rFonts w:ascii="Times New Roman" w:hAnsi="Times New Roman"/>
          <w:sz w:val="20"/>
          <w:szCs w:val="20"/>
          <w:lang w:val="fr-BE"/>
        </w:rPr>
        <w:t>, risque de contamination des eaux, du sol</w:t>
      </w:r>
      <w:r w:rsidRPr="00186D9C">
        <w:rPr>
          <w:rFonts w:ascii="Times New Roman" w:hAnsi="Times New Roman"/>
          <w:sz w:val="20"/>
          <w:szCs w:val="20"/>
          <w:lang w:val="fr-BE"/>
        </w:rPr>
        <w:t xml:space="preserve"> …) ;</w:t>
      </w:r>
    </w:p>
    <w:p w:rsidR="00186D9C" w:rsidRPr="00186D9C" w:rsidRDefault="00186D9C" w:rsidP="00186D9C">
      <w:pPr>
        <w:pStyle w:val="Listecouleur-Accent11"/>
        <w:numPr>
          <w:ilvl w:val="1"/>
          <w:numId w:val="21"/>
        </w:numPr>
        <w:jc w:val="both"/>
        <w:rPr>
          <w:rFonts w:ascii="Times New Roman" w:hAnsi="Times New Roman"/>
          <w:sz w:val="20"/>
          <w:szCs w:val="20"/>
          <w:lang w:val="fr-BE"/>
        </w:rPr>
      </w:pPr>
      <w:r w:rsidRPr="00186D9C">
        <w:rPr>
          <w:rFonts w:ascii="Times New Roman" w:hAnsi="Times New Roman"/>
          <w:sz w:val="20"/>
          <w:szCs w:val="20"/>
          <w:lang w:val="fr-BE"/>
        </w:rPr>
        <w:t>la localisation de l’impact ;</w:t>
      </w:r>
    </w:p>
    <w:p w:rsidR="00186D9C" w:rsidRPr="00186D9C" w:rsidRDefault="00186D9C" w:rsidP="00186D9C">
      <w:pPr>
        <w:pStyle w:val="Listecouleur-Accent11"/>
        <w:numPr>
          <w:ilvl w:val="1"/>
          <w:numId w:val="21"/>
        </w:numPr>
        <w:jc w:val="both"/>
        <w:rPr>
          <w:rFonts w:ascii="Times New Roman" w:hAnsi="Times New Roman"/>
          <w:sz w:val="20"/>
          <w:szCs w:val="20"/>
          <w:lang w:val="fr-BE"/>
        </w:rPr>
      </w:pPr>
      <w:r w:rsidRPr="00186D9C">
        <w:rPr>
          <w:rFonts w:ascii="Times New Roman" w:hAnsi="Times New Roman"/>
          <w:sz w:val="20"/>
          <w:szCs w:val="20"/>
          <w:lang w:val="fr-BE"/>
        </w:rPr>
        <w:t>la quantification de l’impact, à savoir la surface et/ou le nombre d’individus qui seront concernés par l’impact. Pour certains projets impliquant des impacts qui peuvent difficilement être quantifiés précisément, il peut éventuellement s’agir d’une appréciation du niveau d’impact ;</w:t>
      </w:r>
    </w:p>
    <w:p w:rsidR="00762ADB" w:rsidRDefault="00186D9C" w:rsidP="00FB5CD0">
      <w:pPr>
        <w:pStyle w:val="Listecouleur-Accent11"/>
        <w:numPr>
          <w:ilvl w:val="1"/>
          <w:numId w:val="21"/>
        </w:numPr>
        <w:jc w:val="both"/>
      </w:pPr>
      <w:r w:rsidRPr="00186D9C">
        <w:rPr>
          <w:rFonts w:ascii="Times New Roman" w:hAnsi="Times New Roman"/>
          <w:sz w:val="20"/>
          <w:szCs w:val="20"/>
          <w:lang w:val="fr-BE"/>
        </w:rPr>
        <w:t xml:space="preserve">une évaluation de l’importance de l’impact au regard du niveau d’enjeu déterminé précédemment.  </w:t>
      </w:r>
    </w:p>
    <w:p w:rsidR="004569F3" w:rsidRPr="00FF3DE0" w:rsidRDefault="00762ADB" w:rsidP="00570B84">
      <w:pPr>
        <w:pStyle w:val="Retraitcorpsdetexte"/>
        <w:numPr>
          <w:ilvl w:val="0"/>
          <w:numId w:val="22"/>
        </w:numPr>
        <w:spacing w:after="120"/>
        <w:ind w:left="284" w:hanging="284"/>
        <w:rPr>
          <w:rFonts w:ascii="Times New Roman" w:hAnsi="Times New Roman"/>
          <w:b/>
          <w:i/>
          <w:u w:val="single"/>
        </w:rPr>
      </w:pPr>
      <w:r w:rsidRPr="00FF3DE0">
        <w:rPr>
          <w:rFonts w:ascii="Times New Roman" w:hAnsi="Times New Roman"/>
          <w:b/>
          <w:i/>
          <w:u w:val="single"/>
        </w:rPr>
        <w:t>Mesures d’atténuation et/ou de compensation</w:t>
      </w:r>
      <w:r w:rsidR="004569F3" w:rsidRPr="00FF3DE0">
        <w:rPr>
          <w:rFonts w:ascii="Times New Roman" w:hAnsi="Times New Roman"/>
          <w:b/>
          <w:i/>
          <w:u w:val="single"/>
        </w:rPr>
        <w:t>:</w:t>
      </w:r>
    </w:p>
    <w:p w:rsidR="00204867" w:rsidRDefault="00204867" w:rsidP="00204867">
      <w:pPr>
        <w:pStyle w:val="Retraitcorpsdetexte"/>
        <w:numPr>
          <w:ilvl w:val="1"/>
          <w:numId w:val="17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Mesures d’atténuation </w:t>
      </w:r>
    </w:p>
    <w:p w:rsidR="00204867" w:rsidRDefault="00204867" w:rsidP="004E7B35">
      <w:pPr>
        <w:pStyle w:val="Retraitcorpsdetexte"/>
        <w:spacing w:after="12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Dans le cas où le projet risque de porter atteinte à l’intégrité </w:t>
      </w:r>
      <w:r w:rsidR="00695828">
        <w:rPr>
          <w:rFonts w:ascii="Times New Roman" w:hAnsi="Times New Roman"/>
        </w:rPr>
        <w:t xml:space="preserve">d’un site </w:t>
      </w:r>
      <w:proofErr w:type="spellStart"/>
      <w:r w:rsidR="00695828">
        <w:rPr>
          <w:rFonts w:ascii="Times New Roman" w:hAnsi="Times New Roman"/>
        </w:rPr>
        <w:t>Natura</w:t>
      </w:r>
      <w:proofErr w:type="spellEnd"/>
      <w:r w:rsidR="00695828">
        <w:rPr>
          <w:rFonts w:ascii="Times New Roman" w:hAnsi="Times New Roman"/>
        </w:rPr>
        <w:t xml:space="preserve"> 2000</w:t>
      </w:r>
      <w:r>
        <w:rPr>
          <w:rFonts w:ascii="Times New Roman" w:hAnsi="Times New Roman"/>
        </w:rPr>
        <w:t xml:space="preserve"> (risque d’impact sur un habitat ou une espèce d’intérêt communautaire</w:t>
      </w:r>
      <w:r w:rsidR="00850A56">
        <w:rPr>
          <w:rFonts w:ascii="Times New Roman" w:hAnsi="Times New Roman"/>
        </w:rPr>
        <w:t xml:space="preserve"> dans un site </w:t>
      </w:r>
      <w:proofErr w:type="spellStart"/>
      <w:r w:rsidR="00850A56">
        <w:rPr>
          <w:rFonts w:ascii="Times New Roman" w:hAnsi="Times New Roman"/>
        </w:rPr>
        <w:t>Natura</w:t>
      </w:r>
      <w:proofErr w:type="spellEnd"/>
      <w:r w:rsidR="00850A56">
        <w:rPr>
          <w:rFonts w:ascii="Times New Roman" w:hAnsi="Times New Roman"/>
        </w:rPr>
        <w:t xml:space="preserve"> 2000</w:t>
      </w:r>
      <w:r>
        <w:rPr>
          <w:rFonts w:ascii="Times New Roman" w:hAnsi="Times New Roman"/>
        </w:rPr>
        <w:t>) ou risque de porter atteinte à une espèce protégée, il y a lieu d’identifier</w:t>
      </w:r>
      <w:r w:rsidR="002E548A">
        <w:rPr>
          <w:rFonts w:ascii="Times New Roman" w:hAnsi="Times New Roman"/>
        </w:rPr>
        <w:t>, pour chaque espèce et pour chaque habitat concerné,</w:t>
      </w:r>
      <w:r>
        <w:rPr>
          <w:rFonts w:ascii="Times New Roman" w:hAnsi="Times New Roman"/>
        </w:rPr>
        <w:t xml:space="preserve"> les mesures qui seront prises pour limiter l’impact du projet.</w:t>
      </w:r>
    </w:p>
    <w:p w:rsidR="00204867" w:rsidRDefault="00204867" w:rsidP="00204867">
      <w:pPr>
        <w:pStyle w:val="Retraitcorpsdetexte"/>
        <w:numPr>
          <w:ilvl w:val="1"/>
          <w:numId w:val="17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Mesures de compensation</w:t>
      </w:r>
    </w:p>
    <w:p w:rsidR="004E7B35" w:rsidRDefault="00204867" w:rsidP="004E7B35">
      <w:pPr>
        <w:pStyle w:val="Retraitcorpsdetexte"/>
        <w:spacing w:after="120"/>
        <w:ind w:left="284" w:firstLine="709"/>
        <w:rPr>
          <w:rFonts w:ascii="Times New Roman" w:hAnsi="Times New Roman"/>
        </w:rPr>
      </w:pPr>
      <w:r>
        <w:rPr>
          <w:rFonts w:ascii="Times New Roman" w:hAnsi="Times New Roman"/>
        </w:rPr>
        <w:t>Dans le cas où un impact résiduel subsiste en dépit de la mise en œuvre de mesures d’atténuation</w:t>
      </w:r>
      <w:r w:rsidR="0084667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il y a lieu d’identifier les mesures qui seront prises pour compenser l’impact du projet.</w:t>
      </w:r>
    </w:p>
    <w:p w:rsidR="00570B84" w:rsidRPr="00FF3DE0" w:rsidRDefault="00186D9C" w:rsidP="004E7B35">
      <w:pPr>
        <w:pStyle w:val="Retraitcorpsdetexte"/>
        <w:numPr>
          <w:ilvl w:val="0"/>
          <w:numId w:val="22"/>
        </w:numPr>
        <w:spacing w:before="240" w:after="120"/>
        <w:ind w:left="284" w:hanging="284"/>
        <w:rPr>
          <w:rFonts w:ascii="Times New Roman" w:hAnsi="Times New Roman"/>
          <w:b/>
          <w:i/>
          <w:u w:val="single"/>
        </w:rPr>
      </w:pPr>
      <w:r w:rsidRPr="00FF3DE0">
        <w:rPr>
          <w:rFonts w:ascii="Times New Roman" w:hAnsi="Times New Roman"/>
          <w:b/>
          <w:i/>
          <w:u w:val="single"/>
        </w:rPr>
        <w:t>Mesures de suivi :</w:t>
      </w:r>
    </w:p>
    <w:p w:rsidR="00570B84" w:rsidRDefault="00570B84" w:rsidP="004E7B35">
      <w:pPr>
        <w:pStyle w:val="Retraitcorpsdetexte"/>
        <w:numPr>
          <w:ilvl w:val="1"/>
          <w:numId w:val="22"/>
        </w:numPr>
        <w:spacing w:before="240" w:after="120"/>
        <w:ind w:left="1134" w:hanging="425"/>
        <w:rPr>
          <w:rFonts w:ascii="Times New Roman" w:hAnsi="Times New Roman"/>
        </w:rPr>
      </w:pPr>
      <w:r>
        <w:rPr>
          <w:rFonts w:ascii="Times New Roman" w:hAnsi="Times New Roman"/>
        </w:rPr>
        <w:t>Suivi opérationnel</w:t>
      </w:r>
    </w:p>
    <w:p w:rsidR="00570B84" w:rsidRDefault="00570B84" w:rsidP="004E7B35">
      <w:pPr>
        <w:pStyle w:val="Retraitcorpsdetexte"/>
        <w:spacing w:after="12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Mesures mises en place pour s’assurer de la réalisation effective et efficace des mesures d’atténuation et de compensation.</w:t>
      </w:r>
    </w:p>
    <w:p w:rsidR="00570B84" w:rsidRDefault="00570B84" w:rsidP="00570B84">
      <w:pPr>
        <w:pStyle w:val="Retraitcorpsdetexte"/>
        <w:numPr>
          <w:ilvl w:val="1"/>
          <w:numId w:val="22"/>
        </w:numPr>
        <w:spacing w:after="120"/>
        <w:ind w:left="1134" w:hanging="425"/>
        <w:rPr>
          <w:rFonts w:ascii="Times New Roman" w:hAnsi="Times New Roman"/>
        </w:rPr>
      </w:pPr>
      <w:r>
        <w:rPr>
          <w:rFonts w:ascii="Times New Roman" w:hAnsi="Times New Roman"/>
        </w:rPr>
        <w:t>Suivi scientifique</w:t>
      </w:r>
    </w:p>
    <w:p w:rsidR="00153826" w:rsidRDefault="00570B84" w:rsidP="00570B84">
      <w:pPr>
        <w:pStyle w:val="Retraitcorpsdetexte"/>
        <w:spacing w:after="120"/>
        <w:ind w:left="1134" w:hanging="425"/>
        <w:rPr>
          <w:rFonts w:ascii="Times New Roman" w:hAnsi="Times New Roman"/>
        </w:rPr>
      </w:pPr>
      <w:r>
        <w:rPr>
          <w:rFonts w:ascii="Times New Roman" w:hAnsi="Times New Roman"/>
        </w:rPr>
        <w:t>Mesures mises en place après le chantier pour vérifier l’efficacité des mesures prises et au besoin les réorienter.</w:t>
      </w:r>
    </w:p>
    <w:sectPr w:rsidR="00153826" w:rsidSect="00FF3DE0">
      <w:pgSz w:w="11906" w:h="16838"/>
      <w:pgMar w:top="425" w:right="851" w:bottom="42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B67" w:rsidRDefault="00246B67">
      <w:r>
        <w:separator/>
      </w:r>
    </w:p>
  </w:endnote>
  <w:endnote w:type="continuationSeparator" w:id="0">
    <w:p w:rsidR="00246B67" w:rsidRDefault="00246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B67" w:rsidRDefault="00246B67">
      <w:r>
        <w:separator/>
      </w:r>
    </w:p>
  </w:footnote>
  <w:footnote w:type="continuationSeparator" w:id="0">
    <w:p w:rsidR="00246B67" w:rsidRDefault="00246B67">
      <w:r>
        <w:continuationSeparator/>
      </w:r>
    </w:p>
  </w:footnote>
  <w:footnote w:id="1">
    <w:p w:rsidR="002E548A" w:rsidRPr="002E548A" w:rsidRDefault="002E548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Ce canevas n’a pas force de loi. En l’attente de l’adoption de l’arrêté du Gouvernement wallon qui précise les modalités d’application de l’article 29, § 2 de la loi sur la conservation de la nature, il est recommandé de respecter ce canevas qui inclut les données nécessaires à l’appréciation de l’impact d’un projet sur un site </w:t>
      </w:r>
      <w:proofErr w:type="spellStart"/>
      <w:r>
        <w:rPr>
          <w:lang w:val="fr-BE"/>
        </w:rPr>
        <w:t>Natura</w:t>
      </w:r>
      <w:proofErr w:type="spellEnd"/>
      <w:r>
        <w:rPr>
          <w:lang w:val="fr-BE"/>
        </w:rPr>
        <w:t xml:space="preserve"> 2000.</w:t>
      </w:r>
    </w:p>
  </w:footnote>
  <w:footnote w:id="2">
    <w:p w:rsidR="00A85779" w:rsidRPr="00A85779" w:rsidRDefault="00A8577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En cas de risque d’atteinte à un site </w:t>
      </w:r>
      <w:proofErr w:type="spellStart"/>
      <w:r>
        <w:rPr>
          <w:lang w:val="fr-BE"/>
        </w:rPr>
        <w:t>Natura</w:t>
      </w:r>
      <w:proofErr w:type="spellEnd"/>
      <w:r>
        <w:rPr>
          <w:lang w:val="fr-BE"/>
        </w:rPr>
        <w:t xml:space="preserve"> 2000 ou à une espèce protégée, il y a lieu d’apporter les justifications que le projet est bien justifié par un des motifs prévus par la loi sur la conservation de la nature (article 29, § 2 et article 5) </w:t>
      </w:r>
    </w:p>
  </w:footnote>
  <w:footnote w:id="3">
    <w:p w:rsidR="008F0284" w:rsidRPr="008F0284" w:rsidRDefault="008F028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Voir sur </w:t>
      </w:r>
      <w:r w:rsidRPr="008F0284">
        <w:rPr>
          <w:lang w:val="fr-BE"/>
        </w:rPr>
        <w:t>http://biodiversite.wallonie.be/fr/sgib-sites-de-grand-interet-biologique.html?IDC=824</w:t>
      </w:r>
    </w:p>
  </w:footnote>
  <w:footnote w:id="4">
    <w:p w:rsidR="00FF3DE0" w:rsidRPr="00FF3DE0" w:rsidRDefault="00FF3DE0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Accessible sur </w:t>
      </w:r>
      <w:hyperlink r:id="rId1" w:history="1">
        <w:r w:rsidRPr="00D14347">
          <w:rPr>
            <w:rStyle w:val="Lienhypertexte"/>
            <w:lang w:val="fr-BE"/>
          </w:rPr>
          <w:t>http://biodiversite.wallonie.be</w:t>
        </w:r>
      </w:hyperlink>
      <w:r>
        <w:rPr>
          <w:lang w:val="fr-BE"/>
        </w:rPr>
        <w:t xml:space="preserve"> section « biotopes »</w:t>
      </w:r>
    </w:p>
  </w:footnote>
  <w:footnote w:id="5">
    <w:p w:rsidR="008F0284" w:rsidRPr="008F0284" w:rsidRDefault="008F028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="00FF3DE0" w:rsidRPr="00FF3DE0">
        <w:rPr>
          <w:snapToGrid w:val="0"/>
          <w:lang w:val="fr-BE" w:eastAsia="fr-FR"/>
        </w:rPr>
        <w:t>Exemple</w:t>
      </w:r>
      <w:r w:rsidR="00FF3DE0">
        <w:rPr>
          <w:snapToGrid w:val="0"/>
          <w:lang w:val="fr-BE" w:eastAsia="fr-FR"/>
        </w:rPr>
        <w:t> :</w:t>
      </w:r>
      <w:r w:rsidR="00FF3DE0" w:rsidRPr="00FF3DE0">
        <w:rPr>
          <w:snapToGrid w:val="0"/>
          <w:lang w:val="fr-BE" w:eastAsia="fr-FR"/>
        </w:rPr>
        <w:t xml:space="preserve"> </w:t>
      </w:r>
      <w:r w:rsidR="00FF3DE0" w:rsidRPr="00FF3DE0">
        <w:rPr>
          <w:snapToGrid w:val="0"/>
          <w:color w:val="000000"/>
          <w:lang w:val="fr-BE" w:eastAsia="fr-FR"/>
        </w:rPr>
        <w:t xml:space="preserve">E1.2 - Pelouses calcicoles et </w:t>
      </w:r>
      <w:proofErr w:type="spellStart"/>
      <w:r w:rsidR="00FF3DE0" w:rsidRPr="00FF3DE0">
        <w:rPr>
          <w:snapToGrid w:val="0"/>
          <w:color w:val="000000"/>
          <w:lang w:val="fr-BE" w:eastAsia="fr-FR"/>
        </w:rPr>
        <w:t>calcaréo</w:t>
      </w:r>
      <w:proofErr w:type="spellEnd"/>
      <w:r w:rsidR="00FF3DE0" w:rsidRPr="00FF3DE0">
        <w:rPr>
          <w:snapToGrid w:val="0"/>
          <w:color w:val="000000"/>
          <w:lang w:val="fr-BE" w:eastAsia="fr-FR"/>
        </w:rPr>
        <w:t>-siliceuses</w:t>
      </w:r>
    </w:p>
  </w:footnote>
  <w:footnote w:id="6">
    <w:p w:rsidR="00204867" w:rsidRPr="00204867" w:rsidRDefault="00204867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Au sens de la loi sur la conservation de la nature : e</w:t>
      </w:r>
      <w:r w:rsidR="00F855B0">
        <w:rPr>
          <w:lang w:val="fr-BE"/>
        </w:rPr>
        <w:t>spèces ou habitats marqués d’un</w:t>
      </w:r>
      <w:r>
        <w:rPr>
          <w:lang w:val="fr-BE"/>
        </w:rPr>
        <w:t xml:space="preserve"> astérisque dans les annexes I, VIII, IX et XI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6AD"/>
    <w:multiLevelType w:val="singleLevel"/>
    <w:tmpl w:val="09BE2C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357492D"/>
    <w:multiLevelType w:val="singleLevel"/>
    <w:tmpl w:val="09BE2C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4D47839"/>
    <w:multiLevelType w:val="singleLevel"/>
    <w:tmpl w:val="52B09278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C9016B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A5355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1714E8E"/>
    <w:multiLevelType w:val="singleLevel"/>
    <w:tmpl w:val="428E9A02"/>
    <w:lvl w:ilvl="0">
      <w:start w:val="1"/>
      <w:numFmt w:val="bullet"/>
      <w:lvlText w:val="-"/>
      <w:lvlJc w:val="left"/>
      <w:pPr>
        <w:tabs>
          <w:tab w:val="num" w:pos="1304"/>
        </w:tabs>
        <w:ind w:left="1304" w:hanging="453"/>
      </w:pPr>
      <w:rPr>
        <w:rFonts w:ascii="Tahoma" w:hAnsi="Tahoma" w:hint="default"/>
      </w:rPr>
    </w:lvl>
  </w:abstractNum>
  <w:abstractNum w:abstractNumId="6">
    <w:nsid w:val="1B153243"/>
    <w:multiLevelType w:val="hybridMultilevel"/>
    <w:tmpl w:val="E50EF6BE"/>
    <w:lvl w:ilvl="0" w:tplc="C0AE5DEC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0AE5DEC">
      <w:start w:val="29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13FBF"/>
    <w:multiLevelType w:val="multilevel"/>
    <w:tmpl w:val="BEF69E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8" w:hanging="1440"/>
      </w:pPr>
      <w:rPr>
        <w:rFonts w:hint="default"/>
      </w:rPr>
    </w:lvl>
  </w:abstractNum>
  <w:abstractNum w:abstractNumId="8">
    <w:nsid w:val="3B352DF8"/>
    <w:multiLevelType w:val="singleLevel"/>
    <w:tmpl w:val="52B09278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>
    <w:nsid w:val="3DBF0978"/>
    <w:multiLevelType w:val="singleLevel"/>
    <w:tmpl w:val="52B09278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>
    <w:nsid w:val="3DE24DB4"/>
    <w:multiLevelType w:val="hybridMultilevel"/>
    <w:tmpl w:val="8E34C89C"/>
    <w:lvl w:ilvl="0" w:tplc="0388BA16">
      <w:numFmt w:val="bullet"/>
      <w:lvlText w:val="-"/>
      <w:lvlJc w:val="left"/>
      <w:pPr>
        <w:ind w:left="2137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1">
    <w:nsid w:val="42F211FB"/>
    <w:multiLevelType w:val="hybridMultilevel"/>
    <w:tmpl w:val="0832E6CC"/>
    <w:lvl w:ilvl="0" w:tplc="0388BA16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276876"/>
    <w:multiLevelType w:val="singleLevel"/>
    <w:tmpl w:val="09BE2C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89A00CE"/>
    <w:multiLevelType w:val="multilevel"/>
    <w:tmpl w:val="F6B62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>
    <w:nsid w:val="501F6DEF"/>
    <w:multiLevelType w:val="singleLevel"/>
    <w:tmpl w:val="09BE2C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3FC3C24"/>
    <w:multiLevelType w:val="hybridMultilevel"/>
    <w:tmpl w:val="00840A5E"/>
    <w:lvl w:ilvl="0" w:tplc="F09293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24848"/>
    <w:multiLevelType w:val="hybridMultilevel"/>
    <w:tmpl w:val="6AEA187C"/>
    <w:lvl w:ilvl="0" w:tplc="0388BA16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8D35CC2"/>
    <w:multiLevelType w:val="singleLevel"/>
    <w:tmpl w:val="E0325BA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00269F"/>
    <w:multiLevelType w:val="multilevel"/>
    <w:tmpl w:val="484AA01A"/>
    <w:lvl w:ilvl="0">
      <w:start w:val="4"/>
      <w:numFmt w:val="decimal"/>
      <w:lvlText w:val="%1."/>
      <w:lvlJc w:val="left"/>
      <w:pPr>
        <w:ind w:left="10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35" w:hanging="1440"/>
      </w:pPr>
      <w:rPr>
        <w:rFonts w:hint="default"/>
      </w:rPr>
    </w:lvl>
  </w:abstractNum>
  <w:abstractNum w:abstractNumId="19">
    <w:nsid w:val="76D22051"/>
    <w:multiLevelType w:val="singleLevel"/>
    <w:tmpl w:val="52B09278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0">
    <w:nsid w:val="771B2586"/>
    <w:multiLevelType w:val="singleLevel"/>
    <w:tmpl w:val="52B09278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1">
    <w:nsid w:val="780C42A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ACF32DD"/>
    <w:multiLevelType w:val="hybridMultilevel"/>
    <w:tmpl w:val="4644075A"/>
    <w:lvl w:ilvl="0" w:tplc="75720A10">
      <w:start w:val="5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4" w:hanging="360"/>
      </w:pPr>
    </w:lvl>
    <w:lvl w:ilvl="2" w:tplc="080C001B" w:tentative="1">
      <w:start w:val="1"/>
      <w:numFmt w:val="lowerRoman"/>
      <w:lvlText w:val="%3."/>
      <w:lvlJc w:val="right"/>
      <w:pPr>
        <w:ind w:left="2504" w:hanging="180"/>
      </w:pPr>
    </w:lvl>
    <w:lvl w:ilvl="3" w:tplc="080C000F" w:tentative="1">
      <w:start w:val="1"/>
      <w:numFmt w:val="decimal"/>
      <w:lvlText w:val="%4."/>
      <w:lvlJc w:val="left"/>
      <w:pPr>
        <w:ind w:left="3224" w:hanging="360"/>
      </w:pPr>
    </w:lvl>
    <w:lvl w:ilvl="4" w:tplc="080C0019" w:tentative="1">
      <w:start w:val="1"/>
      <w:numFmt w:val="lowerLetter"/>
      <w:lvlText w:val="%5."/>
      <w:lvlJc w:val="left"/>
      <w:pPr>
        <w:ind w:left="3944" w:hanging="360"/>
      </w:pPr>
    </w:lvl>
    <w:lvl w:ilvl="5" w:tplc="080C001B" w:tentative="1">
      <w:start w:val="1"/>
      <w:numFmt w:val="lowerRoman"/>
      <w:lvlText w:val="%6."/>
      <w:lvlJc w:val="right"/>
      <w:pPr>
        <w:ind w:left="4664" w:hanging="180"/>
      </w:pPr>
    </w:lvl>
    <w:lvl w:ilvl="6" w:tplc="080C000F" w:tentative="1">
      <w:start w:val="1"/>
      <w:numFmt w:val="decimal"/>
      <w:lvlText w:val="%7."/>
      <w:lvlJc w:val="left"/>
      <w:pPr>
        <w:ind w:left="5384" w:hanging="360"/>
      </w:pPr>
    </w:lvl>
    <w:lvl w:ilvl="7" w:tplc="080C0019" w:tentative="1">
      <w:start w:val="1"/>
      <w:numFmt w:val="lowerLetter"/>
      <w:lvlText w:val="%8."/>
      <w:lvlJc w:val="left"/>
      <w:pPr>
        <w:ind w:left="6104" w:hanging="360"/>
      </w:pPr>
    </w:lvl>
    <w:lvl w:ilvl="8" w:tplc="080C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>
    <w:nsid w:val="7BF70D06"/>
    <w:multiLevelType w:val="singleLevel"/>
    <w:tmpl w:val="E0325BA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23"/>
  </w:num>
  <w:num w:numId="4">
    <w:abstractNumId w:val="17"/>
  </w:num>
  <w:num w:numId="5">
    <w:abstractNumId w:val="20"/>
  </w:num>
  <w:num w:numId="6">
    <w:abstractNumId w:val="9"/>
  </w:num>
  <w:num w:numId="7">
    <w:abstractNumId w:val="19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8"/>
  </w:num>
  <w:num w:numId="13">
    <w:abstractNumId w:val="12"/>
  </w:num>
  <w:num w:numId="14">
    <w:abstractNumId w:val="4"/>
  </w:num>
  <w:num w:numId="15">
    <w:abstractNumId w:val="21"/>
  </w:num>
  <w:num w:numId="16">
    <w:abstractNumId w:val="10"/>
  </w:num>
  <w:num w:numId="17">
    <w:abstractNumId w:val="7"/>
  </w:num>
  <w:num w:numId="18">
    <w:abstractNumId w:val="16"/>
  </w:num>
  <w:num w:numId="19">
    <w:abstractNumId w:val="13"/>
  </w:num>
  <w:num w:numId="20">
    <w:abstractNumId w:val="11"/>
  </w:num>
  <w:num w:numId="21">
    <w:abstractNumId w:val="6"/>
  </w:num>
  <w:num w:numId="22">
    <w:abstractNumId w:val="18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508"/>
    <w:rsid w:val="001278FF"/>
    <w:rsid w:val="00133AD7"/>
    <w:rsid w:val="00153826"/>
    <w:rsid w:val="00163A8C"/>
    <w:rsid w:val="00186D9C"/>
    <w:rsid w:val="00204867"/>
    <w:rsid w:val="00246B67"/>
    <w:rsid w:val="002A0508"/>
    <w:rsid w:val="002C1D55"/>
    <w:rsid w:val="002C3B9C"/>
    <w:rsid w:val="002E548A"/>
    <w:rsid w:val="002E58EC"/>
    <w:rsid w:val="002F3F95"/>
    <w:rsid w:val="003740E1"/>
    <w:rsid w:val="003B1957"/>
    <w:rsid w:val="004569F3"/>
    <w:rsid w:val="004A3727"/>
    <w:rsid w:val="004C1B5F"/>
    <w:rsid w:val="004E7B35"/>
    <w:rsid w:val="0053348C"/>
    <w:rsid w:val="00570B84"/>
    <w:rsid w:val="00695828"/>
    <w:rsid w:val="006C6FF4"/>
    <w:rsid w:val="00762ADB"/>
    <w:rsid w:val="00842673"/>
    <w:rsid w:val="00846676"/>
    <w:rsid w:val="00850A56"/>
    <w:rsid w:val="00875708"/>
    <w:rsid w:val="0089307D"/>
    <w:rsid w:val="008C6040"/>
    <w:rsid w:val="008E1605"/>
    <w:rsid w:val="008E5203"/>
    <w:rsid w:val="008F0284"/>
    <w:rsid w:val="00992659"/>
    <w:rsid w:val="00A85779"/>
    <w:rsid w:val="00B40ABF"/>
    <w:rsid w:val="00B45C4E"/>
    <w:rsid w:val="00C22FEC"/>
    <w:rsid w:val="00CD4A91"/>
    <w:rsid w:val="00DD51EF"/>
    <w:rsid w:val="00DE63AA"/>
    <w:rsid w:val="00F855B0"/>
    <w:rsid w:val="00FB5CD0"/>
    <w:rsid w:val="00FB7142"/>
    <w:rsid w:val="00FE33C8"/>
    <w:rsid w:val="00FF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2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4A3727"/>
    <w:pPr>
      <w:ind w:firstLine="851"/>
      <w:jc w:val="both"/>
    </w:pPr>
    <w:rPr>
      <w:rFonts w:ascii="Book Antiqua" w:hAnsi="Book Antiqua"/>
    </w:rPr>
  </w:style>
  <w:style w:type="paragraph" w:styleId="Corpsdetexte">
    <w:name w:val="Body Text"/>
    <w:basedOn w:val="Normal"/>
    <w:semiHidden/>
    <w:rsid w:val="004A37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character" w:styleId="Lienhypertexte">
    <w:name w:val="Hyperlink"/>
    <w:basedOn w:val="Policepardfaut"/>
    <w:semiHidden/>
    <w:rsid w:val="004A3727"/>
    <w:rPr>
      <w:color w:val="0000FF"/>
      <w:u w:val="single"/>
    </w:rPr>
  </w:style>
  <w:style w:type="paragraph" w:styleId="Retraitcorpsdetexte2">
    <w:name w:val="Body Text Indent 2"/>
    <w:basedOn w:val="Normal"/>
    <w:semiHidden/>
    <w:rsid w:val="004A3727"/>
    <w:pPr>
      <w:ind w:left="1701" w:hanging="425"/>
    </w:pPr>
  </w:style>
  <w:style w:type="character" w:styleId="Lienhypertextesuivivisit">
    <w:name w:val="FollowedHyperlink"/>
    <w:basedOn w:val="Policepardfaut"/>
    <w:semiHidden/>
    <w:rsid w:val="004A3727"/>
    <w:rPr>
      <w:color w:val="800080"/>
      <w:u w:val="single"/>
    </w:rPr>
  </w:style>
  <w:style w:type="paragraph" w:styleId="En-tte">
    <w:name w:val="header"/>
    <w:basedOn w:val="Normal"/>
    <w:semiHidden/>
    <w:rsid w:val="004A37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A372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4A3727"/>
  </w:style>
  <w:style w:type="paragraph" w:styleId="Textedebulles">
    <w:name w:val="Balloon Text"/>
    <w:basedOn w:val="Normal"/>
    <w:link w:val="TextedebullesCar"/>
    <w:uiPriority w:val="99"/>
    <w:semiHidden/>
    <w:unhideWhenUsed/>
    <w:rsid w:val="008E52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203"/>
    <w:rPr>
      <w:rFonts w:ascii="Tahoma" w:hAnsi="Tahoma" w:cs="Tahoma"/>
      <w:sz w:val="16"/>
      <w:szCs w:val="16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5779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5779"/>
    <w:rPr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A8577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04867"/>
    <w:pPr>
      <w:ind w:left="720"/>
      <w:contextualSpacing/>
    </w:pPr>
  </w:style>
  <w:style w:type="paragraph" w:customStyle="1" w:styleId="Listecouleur-Accent11">
    <w:name w:val="Liste couleur - Accent 11"/>
    <w:basedOn w:val="Normal"/>
    <w:uiPriority w:val="34"/>
    <w:qFormat/>
    <w:rsid w:val="00186D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odiversite.wallonie.be/sites/natura2000/n2000formsite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odiversite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C1A84-3D8C-4922-A3C2-76085AFD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CANEVAS DE L'EVALUATION APPROPRIEE DES INCIDENCES</vt:lpstr>
    </vt:vector>
  </TitlesOfParts>
  <Company>M.R.W.</Company>
  <LinksUpToDate>false</LinksUpToDate>
  <CharactersWithSpaces>6035</CharactersWithSpaces>
  <SharedDoc>false</SharedDoc>
  <HLinks>
    <vt:vector size="6" baseType="variant">
      <vt:variant>
        <vt:i4>8060960</vt:i4>
      </vt:variant>
      <vt:variant>
        <vt:i4>0</vt:i4>
      </vt:variant>
      <vt:variant>
        <vt:i4>0</vt:i4>
      </vt:variant>
      <vt:variant>
        <vt:i4>5</vt:i4>
      </vt:variant>
      <vt:variant>
        <vt:lpwstr>http://biodiversite.wallonie.be/sites/natura2000/n2000formsite.html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CANEVAS DE L'EVALUATION APPROPRIEE DES INCIDENCES</dc:title>
  <dc:creator>M.R.W.</dc:creator>
  <cp:lastModifiedBy>125523</cp:lastModifiedBy>
  <cp:revision>2</cp:revision>
  <cp:lastPrinted>2010-01-08T06:23:00Z</cp:lastPrinted>
  <dcterms:created xsi:type="dcterms:W3CDTF">2018-05-02T12:36:00Z</dcterms:created>
  <dcterms:modified xsi:type="dcterms:W3CDTF">2018-05-02T12:36:00Z</dcterms:modified>
</cp:coreProperties>
</file>