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2D4C5" w14:textId="6D8B2314" w:rsidR="00744094" w:rsidRPr="00827EA1" w:rsidRDefault="00744094" w:rsidP="00827EA1">
      <w:pPr>
        <w:pStyle w:val="Paragraphedeliste"/>
        <w:numPr>
          <w:ilvl w:val="0"/>
          <w:numId w:val="1"/>
        </w:numPr>
        <w:ind w:left="0" w:firstLine="0"/>
        <w:jc w:val="both"/>
        <w:rPr>
          <w:rFonts w:cstheme="minorHAnsi"/>
          <w:b/>
          <w:bCs/>
          <w:u w:val="single"/>
        </w:rPr>
      </w:pPr>
      <w:r w:rsidRPr="00827EA1">
        <w:rPr>
          <w:rFonts w:cstheme="minorHAnsi"/>
          <w:b/>
          <w:bCs/>
          <w:u w:val="single"/>
        </w:rPr>
        <w:t>Qu’est-ce que le principe DNSH ?</w:t>
      </w:r>
    </w:p>
    <w:p w14:paraId="216B3A5F" w14:textId="4280DB23" w:rsidR="00824CEC" w:rsidRPr="00827EA1" w:rsidRDefault="00DF107D" w:rsidP="00827EA1">
      <w:pPr>
        <w:spacing w:after="0"/>
        <w:jc w:val="both"/>
        <w:rPr>
          <w:rFonts w:cstheme="minorHAnsi"/>
        </w:rPr>
      </w:pPr>
      <w:r w:rsidRPr="00827EA1">
        <w:rPr>
          <w:rFonts w:cstheme="minorHAnsi"/>
        </w:rPr>
        <w:t xml:space="preserve">Conformément au règlement sur la facilité </w:t>
      </w:r>
      <w:r w:rsidRPr="00827EA1">
        <w:rPr>
          <w:rFonts w:cstheme="minorHAnsi"/>
          <w:i/>
          <w:iCs/>
        </w:rPr>
        <w:t>pour la reprise et la résilience,</w:t>
      </w:r>
      <w:r w:rsidRPr="00827EA1">
        <w:rPr>
          <w:rFonts w:cstheme="minorHAnsi"/>
        </w:rPr>
        <w:t xml:space="preserve"> l’évaluation </w:t>
      </w:r>
      <w:r w:rsidR="00824CEC" w:rsidRPr="00827EA1">
        <w:rPr>
          <w:rFonts w:cstheme="minorHAnsi"/>
        </w:rPr>
        <w:t xml:space="preserve">du </w:t>
      </w:r>
      <w:r w:rsidR="00744094" w:rsidRPr="00827EA1">
        <w:rPr>
          <w:rFonts w:cstheme="minorHAnsi"/>
        </w:rPr>
        <w:t xml:space="preserve">Plan national pour la reprise et la résilience (PRR) </w:t>
      </w:r>
      <w:r w:rsidR="00824CEC" w:rsidRPr="00827EA1">
        <w:rPr>
          <w:rFonts w:cstheme="minorHAnsi"/>
        </w:rPr>
        <w:t xml:space="preserve">que la Belgique a remis </w:t>
      </w:r>
      <w:r w:rsidR="00744094" w:rsidRPr="00827EA1">
        <w:rPr>
          <w:rFonts w:cstheme="minorHAnsi"/>
        </w:rPr>
        <w:t xml:space="preserve">à la Commission européenne, </w:t>
      </w:r>
      <w:r w:rsidRPr="00827EA1">
        <w:rPr>
          <w:rFonts w:cstheme="minorHAnsi"/>
        </w:rPr>
        <w:t xml:space="preserve">doit faire en sorte </w:t>
      </w:r>
      <w:r w:rsidR="00744094" w:rsidRPr="00827EA1">
        <w:rPr>
          <w:rFonts w:cstheme="minorHAnsi"/>
        </w:rPr>
        <w:t>qu'aucune mesure de mise en œuvre des réformes et des investissements qu'il contient ne cause de préjudice important" à six objectifs environnementaux (UE, 2021)</w:t>
      </w:r>
      <w:r w:rsidRPr="00827EA1">
        <w:rPr>
          <w:rFonts w:cstheme="minorHAnsi"/>
        </w:rPr>
        <w:t xml:space="preserve"> repris ci-dessous</w:t>
      </w:r>
      <w:r w:rsidR="00744094" w:rsidRPr="00827EA1">
        <w:rPr>
          <w:rFonts w:cstheme="minorHAnsi"/>
        </w:rPr>
        <w:t>. Il s'agit de mettre en œuvre le principe "</w:t>
      </w:r>
      <w:r w:rsidR="00744094" w:rsidRPr="00827EA1">
        <w:rPr>
          <w:rFonts w:cstheme="minorHAnsi"/>
          <w:b/>
          <w:bCs/>
        </w:rPr>
        <w:t xml:space="preserve">Do no </w:t>
      </w:r>
      <w:proofErr w:type="spellStart"/>
      <w:r w:rsidR="00744094" w:rsidRPr="00827EA1">
        <w:rPr>
          <w:rFonts w:cstheme="minorHAnsi"/>
          <w:b/>
          <w:bCs/>
        </w:rPr>
        <w:t>significant</w:t>
      </w:r>
      <w:proofErr w:type="spellEnd"/>
      <w:r w:rsidR="00744094" w:rsidRPr="00827EA1">
        <w:rPr>
          <w:rFonts w:cstheme="minorHAnsi"/>
          <w:b/>
          <w:bCs/>
        </w:rPr>
        <w:t xml:space="preserve"> </w:t>
      </w:r>
      <w:proofErr w:type="spellStart"/>
      <w:r w:rsidR="00744094" w:rsidRPr="00827EA1">
        <w:rPr>
          <w:rFonts w:cstheme="minorHAnsi"/>
          <w:b/>
          <w:bCs/>
        </w:rPr>
        <w:t>harm</w:t>
      </w:r>
      <w:proofErr w:type="spellEnd"/>
      <w:r w:rsidR="00744094" w:rsidRPr="00827EA1">
        <w:rPr>
          <w:rFonts w:cstheme="minorHAnsi"/>
        </w:rPr>
        <w:t>" (</w:t>
      </w:r>
      <w:r w:rsidR="00744094" w:rsidRPr="00827EA1">
        <w:rPr>
          <w:rFonts w:cstheme="minorHAnsi"/>
          <w:b/>
          <w:bCs/>
        </w:rPr>
        <w:t>DNSH</w:t>
      </w:r>
      <w:r w:rsidR="00744094" w:rsidRPr="00827EA1">
        <w:rPr>
          <w:rFonts w:cstheme="minorHAnsi"/>
        </w:rPr>
        <w:t xml:space="preserve"> - </w:t>
      </w:r>
      <w:r w:rsidR="00744094" w:rsidRPr="00827EA1">
        <w:rPr>
          <w:rFonts w:cstheme="minorHAnsi"/>
          <w:b/>
          <w:bCs/>
        </w:rPr>
        <w:t>ne pas causer de préjudice important</w:t>
      </w:r>
      <w:r w:rsidR="00744094" w:rsidRPr="00827EA1">
        <w:rPr>
          <w:rFonts w:cstheme="minorHAnsi"/>
        </w:rPr>
        <w:t>), défini par le Règlement européen sur les investissements durables (UE, 2020), souvent appelé le "Règlement taxonomie"</w:t>
      </w:r>
      <w:r w:rsidR="00824CEC" w:rsidRPr="00827EA1">
        <w:rPr>
          <w:rFonts w:cstheme="minorHAnsi"/>
        </w:rPr>
        <w:t>.</w:t>
      </w:r>
    </w:p>
    <w:p w14:paraId="4595F8FC" w14:textId="242BD9E2" w:rsidR="00DF107D" w:rsidRPr="00827EA1" w:rsidRDefault="00DF107D" w:rsidP="00827EA1">
      <w:pPr>
        <w:jc w:val="both"/>
        <w:rPr>
          <w:rFonts w:cstheme="minorHAnsi"/>
        </w:rPr>
      </w:pPr>
      <w:r w:rsidRPr="00827EA1">
        <w:rPr>
          <w:rFonts w:cstheme="minorHAnsi"/>
        </w:rPr>
        <w:t xml:space="preserve">(Voir communication de la Commission (2021/C58/01) du 18/2/2021 - lien : </w:t>
      </w:r>
      <w:hyperlink r:id="rId7" w:history="1">
        <w:r w:rsidRPr="00827EA1">
          <w:rPr>
            <w:rStyle w:val="Lienhypertexte"/>
            <w:rFonts w:cstheme="minorHAnsi"/>
            <w:color w:val="auto"/>
          </w:rPr>
          <w:t>https://eur-lex.europa.eu/legal-content/FR/TXT/PDF/?uri=CELEX:52021XC0218(01)&amp;from=EN</w:t>
        </w:r>
      </w:hyperlink>
      <w:r w:rsidRPr="00827EA1">
        <w:rPr>
          <w:rFonts w:cstheme="minorHAnsi"/>
        </w:rPr>
        <w:t>)</w:t>
      </w:r>
      <w:r w:rsidR="00827EA1">
        <w:rPr>
          <w:rFonts w:cstheme="minorHAnsi"/>
        </w:rPr>
        <w:t xml:space="preserve"> </w:t>
      </w:r>
    </w:p>
    <w:p w14:paraId="4E9C526B" w14:textId="1ADA0466" w:rsidR="00C57430" w:rsidRPr="00827EA1" w:rsidRDefault="00C57430" w:rsidP="00827EA1">
      <w:pPr>
        <w:spacing w:before="240"/>
        <w:jc w:val="both"/>
        <w:rPr>
          <w:rFonts w:cstheme="minorHAnsi"/>
        </w:rPr>
      </w:pPr>
      <w:r w:rsidRPr="00827EA1">
        <w:rPr>
          <w:rFonts w:cstheme="minorHAnsi"/>
        </w:rPr>
        <w:t>1) une activité est considérée comme causant un préjudice important à l’atténuation du changement climatique lorsqu’elle génère des émissions importantes de gaz à effet de serre</w:t>
      </w:r>
      <w:r w:rsidR="009F3AA6" w:rsidRPr="00827EA1">
        <w:rPr>
          <w:rFonts w:cstheme="minorHAnsi"/>
        </w:rPr>
        <w:t xml:space="preserve"> </w:t>
      </w:r>
      <w:r w:rsidRPr="00827EA1">
        <w:rPr>
          <w:rFonts w:cstheme="minorHAnsi"/>
        </w:rPr>
        <w:t xml:space="preserve">; </w:t>
      </w:r>
    </w:p>
    <w:p w14:paraId="5E12B40D" w14:textId="67B66D84" w:rsidR="00C57430" w:rsidRPr="00827EA1" w:rsidRDefault="00C57430" w:rsidP="00827EA1">
      <w:pPr>
        <w:spacing w:before="240"/>
        <w:jc w:val="both"/>
        <w:rPr>
          <w:rFonts w:cstheme="minorHAnsi"/>
        </w:rPr>
      </w:pPr>
      <w:r w:rsidRPr="00827EA1">
        <w:rPr>
          <w:rFonts w:cstheme="minorHAnsi"/>
        </w:rPr>
        <w:t>2) une activité est considérée comme causant un préjudice important à l’adaptation au changement climatique lorsqu’elle entraîne une augmentation des incidences négatives du climat actuel et de son évolution attendue sur elle-même ou sur la population, la nature ou les biens</w:t>
      </w:r>
      <w:r w:rsidR="009F3AA6" w:rsidRPr="00827EA1">
        <w:rPr>
          <w:rFonts w:cstheme="minorHAnsi"/>
        </w:rPr>
        <w:t xml:space="preserve"> </w:t>
      </w:r>
      <w:r w:rsidRPr="00827EA1">
        <w:rPr>
          <w:rFonts w:cstheme="minorHAnsi"/>
        </w:rPr>
        <w:t xml:space="preserve">; </w:t>
      </w:r>
    </w:p>
    <w:p w14:paraId="0E92471E" w14:textId="43548DB8" w:rsidR="00C57430" w:rsidRPr="00827EA1" w:rsidRDefault="00C57430" w:rsidP="00827EA1">
      <w:pPr>
        <w:spacing w:before="240"/>
        <w:jc w:val="both"/>
        <w:rPr>
          <w:rFonts w:cstheme="minorHAnsi"/>
        </w:rPr>
      </w:pPr>
      <w:r w:rsidRPr="00827EA1">
        <w:rPr>
          <w:rFonts w:cstheme="minorHAnsi"/>
        </w:rPr>
        <w:t>3) une activité est considérée comme causant un préjudice important à l’utilisation durable et à la protection des ressources aquatiques et marines lorsqu’elle est préjudiciable au bon état ou au bon potentiel écologique des masses d’eau, y compris les eaux de surface et les eaux souterraines, ou au bon état écologique des eaux marines</w:t>
      </w:r>
      <w:r w:rsidR="009F3AA6" w:rsidRPr="00827EA1">
        <w:rPr>
          <w:rFonts w:cstheme="minorHAnsi"/>
        </w:rPr>
        <w:t xml:space="preserve"> </w:t>
      </w:r>
      <w:r w:rsidRPr="00827EA1">
        <w:rPr>
          <w:rFonts w:cstheme="minorHAnsi"/>
        </w:rPr>
        <w:t xml:space="preserve">; </w:t>
      </w:r>
    </w:p>
    <w:p w14:paraId="1CBF0F0F" w14:textId="5C9460DB" w:rsidR="00C57430" w:rsidRPr="00827EA1" w:rsidRDefault="00C57430" w:rsidP="00827EA1">
      <w:pPr>
        <w:spacing w:before="240"/>
        <w:jc w:val="both"/>
        <w:rPr>
          <w:rFonts w:cstheme="minorHAnsi"/>
        </w:rPr>
      </w:pPr>
      <w:r w:rsidRPr="00827EA1">
        <w:rPr>
          <w:rFonts w:cstheme="minorHAnsi"/>
        </w:rPr>
        <w:t>4) une activité est considérée comme causant un préjudice important à l’économie circulaire (y compris la prévention des déchets et le recyclage) lorsqu’elle est caractérisée par une inefficacité significative dans l’utilisation des matières ou dans l’utilisation directe ou indirecte de ressources naturelles, lorsqu’elle entraîne une augmentation notable de la production, de l’incinération ou de l’élimination de déchets, à l’exception de l’incinération de déchets dangereux non recyclables ou lorsque l’élimination à long terme des déchets peut avoir d’importants effets néfastes à long terme sur l’environnement</w:t>
      </w:r>
      <w:r w:rsidR="009F3AA6" w:rsidRPr="00827EA1">
        <w:rPr>
          <w:rFonts w:cstheme="minorHAnsi"/>
        </w:rPr>
        <w:t xml:space="preserve"> </w:t>
      </w:r>
      <w:r w:rsidRPr="00827EA1">
        <w:rPr>
          <w:rFonts w:cstheme="minorHAnsi"/>
        </w:rPr>
        <w:t xml:space="preserve">; </w:t>
      </w:r>
    </w:p>
    <w:p w14:paraId="68B17F06" w14:textId="1DCDB5B8" w:rsidR="00C57430" w:rsidRPr="00827EA1" w:rsidRDefault="00C57430" w:rsidP="00827EA1">
      <w:pPr>
        <w:spacing w:before="240"/>
        <w:ind w:right="-142"/>
        <w:jc w:val="both"/>
        <w:rPr>
          <w:rFonts w:cstheme="minorHAnsi"/>
        </w:rPr>
      </w:pPr>
      <w:r w:rsidRPr="00827EA1">
        <w:rPr>
          <w:rFonts w:cstheme="minorHAnsi"/>
        </w:rPr>
        <w:t>5) une activité est considérée comme causant un préjudice important à la prévention et à la réduction de la pollution lorsqu’elle entraîne une augmentation notable des émissions de polluants dans l’air, l’eau ou le sol</w:t>
      </w:r>
      <w:r w:rsidR="009F3AA6" w:rsidRPr="00827EA1">
        <w:rPr>
          <w:rFonts w:cstheme="minorHAnsi"/>
        </w:rPr>
        <w:t xml:space="preserve"> </w:t>
      </w:r>
      <w:r w:rsidRPr="00827EA1">
        <w:rPr>
          <w:rFonts w:cstheme="minorHAnsi"/>
        </w:rPr>
        <w:t xml:space="preserve">; </w:t>
      </w:r>
    </w:p>
    <w:p w14:paraId="7C62FB71" w14:textId="1E589630" w:rsidR="00C57430" w:rsidRPr="00827EA1" w:rsidRDefault="00C57430" w:rsidP="00827EA1">
      <w:pPr>
        <w:spacing w:before="240"/>
        <w:jc w:val="both"/>
        <w:rPr>
          <w:rFonts w:cstheme="minorHAnsi"/>
        </w:rPr>
      </w:pPr>
      <w:r w:rsidRPr="00827EA1">
        <w:rPr>
          <w:rFonts w:cstheme="minorHAnsi"/>
        </w:rPr>
        <w:t>6) une activité est considérée comme causant un préjudice important à la protection et à la restauration de la biodiversité et des écosystèmes lorsqu’elle est fortement préjudiciable au bon état et à la résilience d’écosystèmes ou préjudiciable à l’état de conservation des habitats et des espèces, y compris ceux qui présentent un intérêt pour l’Union.</w:t>
      </w:r>
    </w:p>
    <w:p w14:paraId="4786732C" w14:textId="77D2526F" w:rsidR="00DF107D" w:rsidRPr="00827EA1" w:rsidRDefault="00286C64" w:rsidP="00827EA1">
      <w:pPr>
        <w:pStyle w:val="Paragraphedeliste"/>
        <w:numPr>
          <w:ilvl w:val="0"/>
          <w:numId w:val="1"/>
        </w:numPr>
        <w:ind w:left="0" w:firstLine="0"/>
        <w:jc w:val="both"/>
        <w:rPr>
          <w:rFonts w:cstheme="minorHAnsi"/>
          <w:b/>
          <w:bCs/>
          <w:u w:val="single"/>
        </w:rPr>
      </w:pPr>
      <w:r w:rsidRPr="00827EA1">
        <w:rPr>
          <w:rFonts w:cstheme="minorHAnsi"/>
          <w:b/>
          <w:bCs/>
          <w:u w:val="single"/>
        </w:rPr>
        <w:t xml:space="preserve">Comment </w:t>
      </w:r>
      <w:r w:rsidR="008044F6" w:rsidRPr="00827EA1">
        <w:rPr>
          <w:rFonts w:cstheme="minorHAnsi"/>
          <w:b/>
          <w:bCs/>
          <w:u w:val="single"/>
        </w:rPr>
        <w:t>montrer</w:t>
      </w:r>
      <w:r w:rsidRPr="00827EA1">
        <w:rPr>
          <w:rFonts w:cstheme="minorHAnsi"/>
          <w:b/>
          <w:bCs/>
          <w:u w:val="single"/>
        </w:rPr>
        <w:t xml:space="preserve"> que les mesures respectent le principe DNSH ?</w:t>
      </w:r>
    </w:p>
    <w:p w14:paraId="7D0F2EB4" w14:textId="0CB94495" w:rsidR="00286C64" w:rsidRPr="00827EA1" w:rsidRDefault="00286C64" w:rsidP="00827EA1">
      <w:pPr>
        <w:spacing w:before="240"/>
        <w:jc w:val="both"/>
        <w:rPr>
          <w:rFonts w:cstheme="minorHAnsi"/>
        </w:rPr>
      </w:pPr>
      <w:r w:rsidRPr="00827EA1">
        <w:rPr>
          <w:rFonts w:cstheme="minorHAnsi"/>
        </w:rPr>
        <w:t>Afin d’évaluer et de présenter plus facilement le principe DNSH, la Commission a élaboré une liste de contrôle</w:t>
      </w:r>
      <w:r w:rsidR="00086717" w:rsidRPr="00827EA1">
        <w:rPr>
          <w:rFonts w:cstheme="minorHAnsi"/>
        </w:rPr>
        <w:t xml:space="preserve"> </w:t>
      </w:r>
      <w:r w:rsidR="004425CB" w:rsidRPr="00827EA1">
        <w:rPr>
          <w:rFonts w:cstheme="minorHAnsi"/>
        </w:rPr>
        <w:t>qui</w:t>
      </w:r>
      <w:r w:rsidRPr="00827EA1">
        <w:rPr>
          <w:rFonts w:cstheme="minorHAnsi"/>
        </w:rPr>
        <w:t xml:space="preserve"> devrait </w:t>
      </w:r>
      <w:r w:rsidR="004425CB" w:rsidRPr="00827EA1">
        <w:rPr>
          <w:rFonts w:cstheme="minorHAnsi"/>
        </w:rPr>
        <w:t xml:space="preserve">être </w:t>
      </w:r>
      <w:r w:rsidRPr="00827EA1">
        <w:rPr>
          <w:rFonts w:cstheme="minorHAnsi"/>
        </w:rPr>
        <w:t>utilis</w:t>
      </w:r>
      <w:r w:rsidR="004425CB" w:rsidRPr="00827EA1">
        <w:rPr>
          <w:rFonts w:cstheme="minorHAnsi"/>
        </w:rPr>
        <w:t>é</w:t>
      </w:r>
      <w:r w:rsidRPr="00827EA1">
        <w:rPr>
          <w:rFonts w:cstheme="minorHAnsi"/>
        </w:rPr>
        <w:t>e pour étayer l</w:t>
      </w:r>
      <w:r w:rsidR="004425CB" w:rsidRPr="00827EA1">
        <w:rPr>
          <w:rFonts w:cstheme="minorHAnsi"/>
        </w:rPr>
        <w:t>’a</w:t>
      </w:r>
      <w:r w:rsidRPr="00827EA1">
        <w:rPr>
          <w:rFonts w:cstheme="minorHAnsi"/>
        </w:rPr>
        <w:t>nalyse du lien entre chaque mesure et le principe DNSH.</w:t>
      </w:r>
    </w:p>
    <w:p w14:paraId="6555587A" w14:textId="160E3267" w:rsidR="001025FC" w:rsidRPr="00827EA1" w:rsidRDefault="00F609A0" w:rsidP="00827EA1">
      <w:pPr>
        <w:pStyle w:val="Paragraphedeliste"/>
        <w:numPr>
          <w:ilvl w:val="1"/>
          <w:numId w:val="1"/>
        </w:numPr>
        <w:jc w:val="both"/>
        <w:rPr>
          <w:rFonts w:cstheme="minorHAnsi"/>
          <w:b/>
          <w:bCs/>
          <w:u w:val="single"/>
        </w:rPr>
      </w:pPr>
      <w:r w:rsidRPr="00827EA1">
        <w:rPr>
          <w:rFonts w:cstheme="minorHAnsi"/>
          <w:b/>
          <w:bCs/>
          <w:u w:val="single"/>
        </w:rPr>
        <w:t>E</w:t>
      </w:r>
      <w:r w:rsidR="00D052F7" w:rsidRPr="00827EA1">
        <w:rPr>
          <w:rFonts w:cstheme="minorHAnsi"/>
          <w:b/>
          <w:bCs/>
          <w:u w:val="single"/>
        </w:rPr>
        <w:t>tape</w:t>
      </w:r>
      <w:r w:rsidRPr="00827EA1">
        <w:rPr>
          <w:rFonts w:cstheme="minorHAnsi"/>
          <w:b/>
          <w:bCs/>
          <w:u w:val="single"/>
        </w:rPr>
        <w:t xml:space="preserve"> 1</w:t>
      </w:r>
      <w:r w:rsidR="00D052F7" w:rsidRPr="00827EA1">
        <w:rPr>
          <w:rFonts w:cstheme="minorHAnsi"/>
          <w:b/>
          <w:bCs/>
          <w:u w:val="single"/>
        </w:rPr>
        <w:t> : Filtrer les six objectifs environnementaux afin de déterminer ceux qui nécessitent une évaluation de fond</w:t>
      </w:r>
    </w:p>
    <w:p w14:paraId="22C33880" w14:textId="3CAE7B53" w:rsidR="00D052F7" w:rsidRPr="00827EA1" w:rsidRDefault="00D052F7" w:rsidP="00827EA1">
      <w:pPr>
        <w:spacing w:before="240"/>
        <w:jc w:val="both"/>
        <w:rPr>
          <w:rFonts w:cstheme="minorHAnsi"/>
        </w:rPr>
      </w:pPr>
      <w:r w:rsidRPr="00827EA1">
        <w:rPr>
          <w:rFonts w:cstheme="minorHAnsi"/>
        </w:rPr>
        <w:t>Cette étape consiste à indiquer si chacun des six objectifs ci-dessous requiert une analyse DNSH (cocher « Oui ») ou pas (cocher « Non »).</w:t>
      </w:r>
    </w:p>
    <w:tbl>
      <w:tblPr>
        <w:tblStyle w:val="Grilledutableau"/>
        <w:tblW w:w="10348" w:type="dxa"/>
        <w:tblInd w:w="-147" w:type="dxa"/>
        <w:tblLayout w:type="fixed"/>
        <w:tblLook w:val="04A0" w:firstRow="1" w:lastRow="0" w:firstColumn="1" w:lastColumn="0" w:noHBand="0" w:noVBand="1"/>
      </w:tblPr>
      <w:tblGrid>
        <w:gridCol w:w="9073"/>
        <w:gridCol w:w="567"/>
        <w:gridCol w:w="708"/>
      </w:tblGrid>
      <w:tr w:rsidR="00D052F7" w:rsidRPr="00827EA1" w14:paraId="6675A7DC" w14:textId="77777777" w:rsidTr="00993E1B">
        <w:tc>
          <w:tcPr>
            <w:tcW w:w="9073" w:type="dxa"/>
            <w:shd w:val="clear" w:color="auto" w:fill="D9D9D9" w:themeFill="background1" w:themeFillShade="D9"/>
          </w:tcPr>
          <w:p w14:paraId="0985CFA0" w14:textId="77777777" w:rsidR="00D052F7" w:rsidRPr="00827EA1" w:rsidRDefault="00D052F7" w:rsidP="00827EA1">
            <w:pPr>
              <w:jc w:val="both"/>
              <w:rPr>
                <w:rFonts w:cstheme="minorHAnsi"/>
                <w:b/>
                <w:bCs/>
              </w:rPr>
            </w:pPr>
            <w:r w:rsidRPr="00827EA1">
              <w:rPr>
                <w:rFonts w:cstheme="minorHAnsi"/>
                <w:b/>
                <w:bCs/>
              </w:rPr>
              <w:lastRenderedPageBreak/>
              <w:t>Indiquer lesquels des objectifs environnementaux ci-dessous requièrent une évaluation DNSH de fond de la mesure</w:t>
            </w:r>
          </w:p>
        </w:tc>
        <w:tc>
          <w:tcPr>
            <w:tcW w:w="567" w:type="dxa"/>
            <w:shd w:val="clear" w:color="auto" w:fill="D9D9D9" w:themeFill="background1" w:themeFillShade="D9"/>
          </w:tcPr>
          <w:p w14:paraId="6D7ADE33" w14:textId="77777777" w:rsidR="00D052F7" w:rsidRPr="00827EA1" w:rsidRDefault="00D052F7" w:rsidP="00827EA1">
            <w:pPr>
              <w:jc w:val="both"/>
              <w:rPr>
                <w:rFonts w:cstheme="minorHAnsi"/>
                <w:b/>
                <w:bCs/>
              </w:rPr>
            </w:pPr>
            <w:r w:rsidRPr="00827EA1">
              <w:rPr>
                <w:rFonts w:cstheme="minorHAnsi"/>
                <w:b/>
                <w:bCs/>
              </w:rPr>
              <w:t>Oui</w:t>
            </w:r>
          </w:p>
        </w:tc>
        <w:tc>
          <w:tcPr>
            <w:tcW w:w="708" w:type="dxa"/>
            <w:shd w:val="clear" w:color="auto" w:fill="D9D9D9" w:themeFill="background1" w:themeFillShade="D9"/>
          </w:tcPr>
          <w:p w14:paraId="1DAB49C2" w14:textId="77777777" w:rsidR="00D052F7" w:rsidRPr="00827EA1" w:rsidRDefault="00D052F7" w:rsidP="00827EA1">
            <w:pPr>
              <w:jc w:val="both"/>
              <w:rPr>
                <w:rFonts w:cstheme="minorHAnsi"/>
                <w:b/>
                <w:bCs/>
              </w:rPr>
            </w:pPr>
            <w:r w:rsidRPr="00827EA1">
              <w:rPr>
                <w:rFonts w:cstheme="minorHAnsi"/>
                <w:b/>
                <w:bCs/>
              </w:rPr>
              <w:t>Non</w:t>
            </w:r>
          </w:p>
        </w:tc>
      </w:tr>
      <w:tr w:rsidR="00D052F7" w:rsidRPr="00827EA1" w14:paraId="1BEABC0F" w14:textId="77777777" w:rsidTr="00993E1B">
        <w:tc>
          <w:tcPr>
            <w:tcW w:w="9073" w:type="dxa"/>
          </w:tcPr>
          <w:p w14:paraId="4AB58A66" w14:textId="77777777" w:rsidR="00D052F7" w:rsidRPr="00827EA1" w:rsidRDefault="00D052F7" w:rsidP="00827EA1">
            <w:pPr>
              <w:jc w:val="both"/>
              <w:rPr>
                <w:rFonts w:cstheme="minorHAnsi"/>
              </w:rPr>
            </w:pPr>
            <w:r w:rsidRPr="00827EA1">
              <w:rPr>
                <w:rFonts w:cstheme="minorHAnsi"/>
              </w:rPr>
              <w:t>Atténuation du changement climatique</w:t>
            </w:r>
          </w:p>
        </w:tc>
        <w:tc>
          <w:tcPr>
            <w:tcW w:w="567" w:type="dxa"/>
          </w:tcPr>
          <w:p w14:paraId="318B3EFA" w14:textId="77777777" w:rsidR="00D052F7" w:rsidRPr="00827EA1" w:rsidRDefault="00D052F7" w:rsidP="00827EA1">
            <w:pPr>
              <w:jc w:val="both"/>
              <w:rPr>
                <w:rFonts w:cstheme="minorHAnsi"/>
              </w:rPr>
            </w:pPr>
          </w:p>
        </w:tc>
        <w:tc>
          <w:tcPr>
            <w:tcW w:w="708" w:type="dxa"/>
          </w:tcPr>
          <w:p w14:paraId="45FBC114" w14:textId="77777777" w:rsidR="00D052F7" w:rsidRPr="00827EA1" w:rsidRDefault="00D052F7" w:rsidP="00827EA1">
            <w:pPr>
              <w:jc w:val="both"/>
              <w:rPr>
                <w:rFonts w:cstheme="minorHAnsi"/>
              </w:rPr>
            </w:pPr>
          </w:p>
        </w:tc>
      </w:tr>
      <w:tr w:rsidR="00D052F7" w:rsidRPr="00827EA1" w14:paraId="42B4667E" w14:textId="77777777" w:rsidTr="00993E1B">
        <w:tc>
          <w:tcPr>
            <w:tcW w:w="9073" w:type="dxa"/>
          </w:tcPr>
          <w:p w14:paraId="173D3A82" w14:textId="77777777" w:rsidR="00D052F7" w:rsidRPr="00827EA1" w:rsidRDefault="00D052F7" w:rsidP="00827EA1">
            <w:pPr>
              <w:jc w:val="both"/>
              <w:rPr>
                <w:rFonts w:cstheme="minorHAnsi"/>
              </w:rPr>
            </w:pPr>
            <w:r w:rsidRPr="00827EA1">
              <w:rPr>
                <w:rFonts w:cstheme="minorHAnsi"/>
              </w:rPr>
              <w:t>Adaptation du changement climatique</w:t>
            </w:r>
          </w:p>
        </w:tc>
        <w:tc>
          <w:tcPr>
            <w:tcW w:w="567" w:type="dxa"/>
          </w:tcPr>
          <w:p w14:paraId="22FA4367" w14:textId="77777777" w:rsidR="00D052F7" w:rsidRPr="00827EA1" w:rsidRDefault="00D052F7" w:rsidP="00827EA1">
            <w:pPr>
              <w:jc w:val="both"/>
              <w:rPr>
                <w:rFonts w:cstheme="minorHAnsi"/>
              </w:rPr>
            </w:pPr>
          </w:p>
        </w:tc>
        <w:tc>
          <w:tcPr>
            <w:tcW w:w="708" w:type="dxa"/>
          </w:tcPr>
          <w:p w14:paraId="75F88667" w14:textId="77777777" w:rsidR="00D052F7" w:rsidRPr="00827EA1" w:rsidRDefault="00D052F7" w:rsidP="00827EA1">
            <w:pPr>
              <w:jc w:val="both"/>
              <w:rPr>
                <w:rFonts w:cstheme="minorHAnsi"/>
              </w:rPr>
            </w:pPr>
          </w:p>
        </w:tc>
      </w:tr>
      <w:tr w:rsidR="00D052F7" w:rsidRPr="00827EA1" w14:paraId="140FE942" w14:textId="77777777" w:rsidTr="00993E1B">
        <w:tc>
          <w:tcPr>
            <w:tcW w:w="9073" w:type="dxa"/>
          </w:tcPr>
          <w:p w14:paraId="1DCCB6CF" w14:textId="77777777" w:rsidR="00D052F7" w:rsidRPr="00827EA1" w:rsidRDefault="00D052F7" w:rsidP="00827EA1">
            <w:pPr>
              <w:jc w:val="both"/>
              <w:rPr>
                <w:rFonts w:cstheme="minorHAnsi"/>
              </w:rPr>
            </w:pPr>
            <w:r w:rsidRPr="00827EA1">
              <w:rPr>
                <w:rFonts w:cstheme="minorHAnsi"/>
              </w:rPr>
              <w:t>Utilisation durable et protection des ressources aquatiques et marines</w:t>
            </w:r>
          </w:p>
        </w:tc>
        <w:tc>
          <w:tcPr>
            <w:tcW w:w="567" w:type="dxa"/>
          </w:tcPr>
          <w:p w14:paraId="518DDE2B" w14:textId="77777777" w:rsidR="00D052F7" w:rsidRPr="00827EA1" w:rsidRDefault="00D052F7" w:rsidP="00827EA1">
            <w:pPr>
              <w:jc w:val="both"/>
              <w:rPr>
                <w:rFonts w:cstheme="minorHAnsi"/>
              </w:rPr>
            </w:pPr>
          </w:p>
        </w:tc>
        <w:tc>
          <w:tcPr>
            <w:tcW w:w="708" w:type="dxa"/>
          </w:tcPr>
          <w:p w14:paraId="4A90EF96" w14:textId="77777777" w:rsidR="00D052F7" w:rsidRPr="00827EA1" w:rsidRDefault="00D052F7" w:rsidP="00827EA1">
            <w:pPr>
              <w:jc w:val="both"/>
              <w:rPr>
                <w:rFonts w:cstheme="minorHAnsi"/>
              </w:rPr>
            </w:pPr>
          </w:p>
        </w:tc>
      </w:tr>
      <w:tr w:rsidR="00D052F7" w:rsidRPr="00827EA1" w14:paraId="7ECF8301" w14:textId="77777777" w:rsidTr="00993E1B">
        <w:tc>
          <w:tcPr>
            <w:tcW w:w="9073" w:type="dxa"/>
          </w:tcPr>
          <w:p w14:paraId="41744DD6" w14:textId="77777777" w:rsidR="00D052F7" w:rsidRPr="00827EA1" w:rsidRDefault="00D052F7" w:rsidP="00827EA1">
            <w:pPr>
              <w:jc w:val="both"/>
              <w:rPr>
                <w:rFonts w:cstheme="minorHAnsi"/>
              </w:rPr>
            </w:pPr>
            <w:r w:rsidRPr="00827EA1">
              <w:rPr>
                <w:rFonts w:cstheme="minorHAnsi"/>
              </w:rPr>
              <w:t>Economie circulaire, y compris la prévention des déchets et le recyclage</w:t>
            </w:r>
          </w:p>
        </w:tc>
        <w:tc>
          <w:tcPr>
            <w:tcW w:w="567" w:type="dxa"/>
          </w:tcPr>
          <w:p w14:paraId="25DAE1D0" w14:textId="77777777" w:rsidR="00D052F7" w:rsidRPr="00827EA1" w:rsidRDefault="00D052F7" w:rsidP="00827EA1">
            <w:pPr>
              <w:jc w:val="both"/>
              <w:rPr>
                <w:rFonts w:cstheme="minorHAnsi"/>
              </w:rPr>
            </w:pPr>
          </w:p>
        </w:tc>
        <w:tc>
          <w:tcPr>
            <w:tcW w:w="708" w:type="dxa"/>
          </w:tcPr>
          <w:p w14:paraId="59159E96" w14:textId="77777777" w:rsidR="00D052F7" w:rsidRPr="00827EA1" w:rsidRDefault="00D052F7" w:rsidP="00827EA1">
            <w:pPr>
              <w:jc w:val="both"/>
              <w:rPr>
                <w:rFonts w:cstheme="minorHAnsi"/>
              </w:rPr>
            </w:pPr>
          </w:p>
        </w:tc>
      </w:tr>
      <w:tr w:rsidR="00D052F7" w:rsidRPr="00827EA1" w14:paraId="5FD1120E" w14:textId="77777777" w:rsidTr="00993E1B">
        <w:tc>
          <w:tcPr>
            <w:tcW w:w="9073" w:type="dxa"/>
          </w:tcPr>
          <w:p w14:paraId="79E1BEB0" w14:textId="77777777" w:rsidR="00D052F7" w:rsidRPr="00827EA1" w:rsidRDefault="00D052F7" w:rsidP="00827EA1">
            <w:pPr>
              <w:jc w:val="both"/>
              <w:rPr>
                <w:rFonts w:cstheme="minorHAnsi"/>
              </w:rPr>
            </w:pPr>
            <w:r w:rsidRPr="00827EA1">
              <w:rPr>
                <w:rFonts w:cstheme="minorHAnsi"/>
              </w:rPr>
              <w:t>Prévention et réduction de la pollution de l’air, de l’eau et du sol</w:t>
            </w:r>
          </w:p>
        </w:tc>
        <w:tc>
          <w:tcPr>
            <w:tcW w:w="567" w:type="dxa"/>
          </w:tcPr>
          <w:p w14:paraId="645D538E" w14:textId="77777777" w:rsidR="00D052F7" w:rsidRPr="00827EA1" w:rsidRDefault="00D052F7" w:rsidP="00827EA1">
            <w:pPr>
              <w:jc w:val="both"/>
              <w:rPr>
                <w:rFonts w:cstheme="minorHAnsi"/>
              </w:rPr>
            </w:pPr>
          </w:p>
        </w:tc>
        <w:tc>
          <w:tcPr>
            <w:tcW w:w="708" w:type="dxa"/>
          </w:tcPr>
          <w:p w14:paraId="6B5B64E5" w14:textId="77777777" w:rsidR="00D052F7" w:rsidRPr="00827EA1" w:rsidRDefault="00D052F7" w:rsidP="00827EA1">
            <w:pPr>
              <w:jc w:val="both"/>
              <w:rPr>
                <w:rFonts w:cstheme="minorHAnsi"/>
              </w:rPr>
            </w:pPr>
          </w:p>
        </w:tc>
      </w:tr>
      <w:tr w:rsidR="00D052F7" w:rsidRPr="00827EA1" w14:paraId="699E5FD4" w14:textId="77777777" w:rsidTr="00993E1B">
        <w:tc>
          <w:tcPr>
            <w:tcW w:w="9073" w:type="dxa"/>
          </w:tcPr>
          <w:p w14:paraId="72AE9A85" w14:textId="77777777" w:rsidR="00D052F7" w:rsidRPr="00827EA1" w:rsidRDefault="00D052F7" w:rsidP="00827EA1">
            <w:pPr>
              <w:jc w:val="both"/>
              <w:rPr>
                <w:rFonts w:cstheme="minorHAnsi"/>
              </w:rPr>
            </w:pPr>
            <w:r w:rsidRPr="00827EA1">
              <w:rPr>
                <w:rFonts w:cstheme="minorHAnsi"/>
              </w:rPr>
              <w:t>Protection et restauration de la biodiversité et des écosystèmes</w:t>
            </w:r>
          </w:p>
        </w:tc>
        <w:tc>
          <w:tcPr>
            <w:tcW w:w="567" w:type="dxa"/>
          </w:tcPr>
          <w:p w14:paraId="2F6ACEB0" w14:textId="77777777" w:rsidR="00D052F7" w:rsidRPr="00827EA1" w:rsidRDefault="00D052F7" w:rsidP="00827EA1">
            <w:pPr>
              <w:jc w:val="both"/>
              <w:rPr>
                <w:rFonts w:cstheme="minorHAnsi"/>
              </w:rPr>
            </w:pPr>
          </w:p>
        </w:tc>
        <w:tc>
          <w:tcPr>
            <w:tcW w:w="708" w:type="dxa"/>
          </w:tcPr>
          <w:p w14:paraId="2F87FED8" w14:textId="77777777" w:rsidR="00D052F7" w:rsidRPr="00827EA1" w:rsidRDefault="00D052F7" w:rsidP="00827EA1">
            <w:pPr>
              <w:jc w:val="both"/>
              <w:rPr>
                <w:rFonts w:cstheme="minorHAnsi"/>
              </w:rPr>
            </w:pPr>
          </w:p>
        </w:tc>
      </w:tr>
    </w:tbl>
    <w:p w14:paraId="6B90D61E" w14:textId="02A095C3" w:rsidR="00AD7E3F" w:rsidRPr="00827EA1" w:rsidRDefault="00F609A0" w:rsidP="003F205A">
      <w:pPr>
        <w:pStyle w:val="Paragraphedeliste"/>
        <w:numPr>
          <w:ilvl w:val="1"/>
          <w:numId w:val="1"/>
        </w:numPr>
        <w:spacing w:before="240" w:after="120"/>
        <w:jc w:val="both"/>
        <w:rPr>
          <w:rFonts w:cstheme="minorHAnsi"/>
          <w:b/>
          <w:bCs/>
          <w:u w:val="single"/>
        </w:rPr>
      </w:pPr>
      <w:r w:rsidRPr="00827EA1">
        <w:rPr>
          <w:rFonts w:cstheme="minorHAnsi"/>
          <w:b/>
          <w:bCs/>
          <w:u w:val="single"/>
        </w:rPr>
        <w:t>E</w:t>
      </w:r>
      <w:r w:rsidR="00D052F7" w:rsidRPr="00827EA1">
        <w:rPr>
          <w:rFonts w:cstheme="minorHAnsi"/>
          <w:b/>
          <w:bCs/>
          <w:u w:val="single"/>
        </w:rPr>
        <w:t>tape</w:t>
      </w:r>
      <w:r w:rsidRPr="00827EA1">
        <w:rPr>
          <w:rFonts w:cstheme="minorHAnsi"/>
          <w:b/>
          <w:bCs/>
          <w:u w:val="single"/>
        </w:rPr>
        <w:t xml:space="preserve"> 2</w:t>
      </w:r>
      <w:r w:rsidR="00AD7E3F" w:rsidRPr="00827EA1">
        <w:rPr>
          <w:rFonts w:cstheme="minorHAnsi"/>
          <w:b/>
          <w:bCs/>
          <w:u w:val="single"/>
        </w:rPr>
        <w:t> : Pour les questions où la réponse est</w:t>
      </w:r>
      <w:r w:rsidR="00200DFD" w:rsidRPr="00827EA1">
        <w:rPr>
          <w:rFonts w:cstheme="minorHAnsi"/>
          <w:b/>
          <w:bCs/>
          <w:u w:val="single"/>
        </w:rPr>
        <w:t xml:space="preserve"> « Non </w:t>
      </w:r>
      <w:r w:rsidR="00AD7E3F" w:rsidRPr="00827EA1">
        <w:rPr>
          <w:rFonts w:cstheme="minorHAnsi"/>
          <w:b/>
          <w:bCs/>
          <w:u w:val="single"/>
        </w:rPr>
        <w:t>»</w:t>
      </w:r>
    </w:p>
    <w:tbl>
      <w:tblPr>
        <w:tblStyle w:val="Grilledutableau"/>
        <w:tblW w:w="10377" w:type="dxa"/>
        <w:tblInd w:w="-176" w:type="dxa"/>
        <w:tblLook w:val="04A0" w:firstRow="1" w:lastRow="0" w:firstColumn="1" w:lastColumn="0" w:noHBand="0" w:noVBand="1"/>
      </w:tblPr>
      <w:tblGrid>
        <w:gridCol w:w="6105"/>
        <w:gridCol w:w="598"/>
        <w:gridCol w:w="3674"/>
      </w:tblGrid>
      <w:tr w:rsidR="00680083" w:rsidRPr="00827EA1" w14:paraId="0559B80D" w14:textId="77777777" w:rsidTr="0051608C">
        <w:tc>
          <w:tcPr>
            <w:tcW w:w="6105" w:type="dxa"/>
            <w:shd w:val="clear" w:color="auto" w:fill="D9D9D9" w:themeFill="background1" w:themeFillShade="D9"/>
          </w:tcPr>
          <w:p w14:paraId="06A6BC78" w14:textId="77777777" w:rsidR="00680083" w:rsidRPr="00827EA1" w:rsidRDefault="00680083" w:rsidP="00827EA1">
            <w:pPr>
              <w:jc w:val="both"/>
              <w:rPr>
                <w:rFonts w:cstheme="minorHAnsi"/>
                <w:b/>
                <w:bCs/>
              </w:rPr>
            </w:pPr>
            <w:r w:rsidRPr="00827EA1">
              <w:rPr>
                <w:rFonts w:cstheme="minorHAnsi"/>
                <w:b/>
                <w:bCs/>
              </w:rPr>
              <w:t>Indiquer lesquels des objectifs environnementaux ci-dessous requièrent une évaluation DNSH de fond de la mesure</w:t>
            </w:r>
          </w:p>
        </w:tc>
        <w:tc>
          <w:tcPr>
            <w:tcW w:w="598" w:type="dxa"/>
            <w:shd w:val="clear" w:color="auto" w:fill="D9D9D9" w:themeFill="background1" w:themeFillShade="D9"/>
          </w:tcPr>
          <w:p w14:paraId="4598EEB5" w14:textId="77777777" w:rsidR="00680083" w:rsidRPr="00827EA1" w:rsidRDefault="00680083" w:rsidP="00827EA1">
            <w:pPr>
              <w:jc w:val="both"/>
              <w:rPr>
                <w:rFonts w:cstheme="minorHAnsi"/>
                <w:b/>
                <w:bCs/>
              </w:rPr>
            </w:pPr>
            <w:r w:rsidRPr="00827EA1">
              <w:rPr>
                <w:rFonts w:cstheme="minorHAnsi"/>
                <w:b/>
                <w:bCs/>
              </w:rPr>
              <w:t>Non</w:t>
            </w:r>
          </w:p>
        </w:tc>
        <w:tc>
          <w:tcPr>
            <w:tcW w:w="3674" w:type="dxa"/>
            <w:shd w:val="clear" w:color="auto" w:fill="D9D9D9" w:themeFill="background1" w:themeFillShade="D9"/>
          </w:tcPr>
          <w:p w14:paraId="0608B712" w14:textId="77777777" w:rsidR="00680083" w:rsidRDefault="00680083" w:rsidP="00827EA1">
            <w:pPr>
              <w:jc w:val="both"/>
              <w:rPr>
                <w:rFonts w:cstheme="minorHAnsi"/>
                <w:b/>
                <w:bCs/>
              </w:rPr>
            </w:pPr>
            <w:r w:rsidRPr="00827EA1">
              <w:rPr>
                <w:rFonts w:cstheme="minorHAnsi"/>
                <w:b/>
                <w:bCs/>
              </w:rPr>
              <w:t>Justifiez si vous avez répondu « Non »</w:t>
            </w:r>
          </w:p>
          <w:p w14:paraId="170A688D" w14:textId="71E4A280" w:rsidR="00660A4F" w:rsidRPr="00827EA1" w:rsidRDefault="00660A4F" w:rsidP="00827EA1">
            <w:pPr>
              <w:jc w:val="both"/>
              <w:rPr>
                <w:rFonts w:cstheme="minorHAnsi"/>
                <w:b/>
                <w:bCs/>
              </w:rPr>
            </w:pPr>
            <w:r w:rsidRPr="00660A4F">
              <w:rPr>
                <w:rFonts w:cstheme="minorHAnsi"/>
                <w:b/>
                <w:bCs/>
              </w:rPr>
              <w:t>(brève justification)</w:t>
            </w:r>
          </w:p>
        </w:tc>
      </w:tr>
      <w:tr w:rsidR="00680083" w:rsidRPr="00827EA1" w14:paraId="37BC5385" w14:textId="77777777" w:rsidTr="0051608C">
        <w:tc>
          <w:tcPr>
            <w:tcW w:w="6105" w:type="dxa"/>
          </w:tcPr>
          <w:p w14:paraId="5DF6817E" w14:textId="77777777" w:rsidR="00680083" w:rsidRPr="00827EA1" w:rsidRDefault="00680083" w:rsidP="00827EA1">
            <w:pPr>
              <w:jc w:val="both"/>
              <w:rPr>
                <w:rFonts w:cstheme="minorHAnsi"/>
              </w:rPr>
            </w:pPr>
            <w:r w:rsidRPr="00827EA1">
              <w:rPr>
                <w:rFonts w:cstheme="minorHAnsi"/>
              </w:rPr>
              <w:t>Atténuation du changement climatique</w:t>
            </w:r>
          </w:p>
        </w:tc>
        <w:tc>
          <w:tcPr>
            <w:tcW w:w="598" w:type="dxa"/>
          </w:tcPr>
          <w:p w14:paraId="54D2B682" w14:textId="77777777" w:rsidR="00680083" w:rsidRPr="00827EA1" w:rsidRDefault="00680083" w:rsidP="00827EA1">
            <w:pPr>
              <w:jc w:val="both"/>
              <w:rPr>
                <w:rFonts w:cstheme="minorHAnsi"/>
              </w:rPr>
            </w:pPr>
          </w:p>
        </w:tc>
        <w:tc>
          <w:tcPr>
            <w:tcW w:w="3674" w:type="dxa"/>
          </w:tcPr>
          <w:p w14:paraId="32B07D1B" w14:textId="77777777" w:rsidR="00680083" w:rsidRPr="00827EA1" w:rsidRDefault="00680083" w:rsidP="00827EA1">
            <w:pPr>
              <w:jc w:val="both"/>
              <w:rPr>
                <w:rFonts w:cstheme="minorHAnsi"/>
              </w:rPr>
            </w:pPr>
          </w:p>
        </w:tc>
      </w:tr>
      <w:tr w:rsidR="00680083" w:rsidRPr="00827EA1" w14:paraId="4B4BFD35" w14:textId="77777777" w:rsidTr="0051608C">
        <w:tc>
          <w:tcPr>
            <w:tcW w:w="6105" w:type="dxa"/>
          </w:tcPr>
          <w:p w14:paraId="4EDCDF92" w14:textId="77777777" w:rsidR="00680083" w:rsidRPr="00827EA1" w:rsidRDefault="00680083" w:rsidP="00827EA1">
            <w:pPr>
              <w:jc w:val="both"/>
              <w:rPr>
                <w:rFonts w:cstheme="minorHAnsi"/>
              </w:rPr>
            </w:pPr>
            <w:r w:rsidRPr="00827EA1">
              <w:rPr>
                <w:rFonts w:cstheme="minorHAnsi"/>
              </w:rPr>
              <w:t>Adaptation du changement climatique</w:t>
            </w:r>
          </w:p>
        </w:tc>
        <w:tc>
          <w:tcPr>
            <w:tcW w:w="598" w:type="dxa"/>
          </w:tcPr>
          <w:p w14:paraId="0A79BE1B" w14:textId="77777777" w:rsidR="00680083" w:rsidRPr="00827EA1" w:rsidRDefault="00680083" w:rsidP="00827EA1">
            <w:pPr>
              <w:jc w:val="both"/>
              <w:rPr>
                <w:rFonts w:cstheme="minorHAnsi"/>
              </w:rPr>
            </w:pPr>
          </w:p>
        </w:tc>
        <w:tc>
          <w:tcPr>
            <w:tcW w:w="3674" w:type="dxa"/>
          </w:tcPr>
          <w:p w14:paraId="7B7ED205" w14:textId="77777777" w:rsidR="00680083" w:rsidRPr="00827EA1" w:rsidRDefault="00680083" w:rsidP="00827EA1">
            <w:pPr>
              <w:jc w:val="both"/>
              <w:rPr>
                <w:rFonts w:cstheme="minorHAnsi"/>
              </w:rPr>
            </w:pPr>
          </w:p>
        </w:tc>
      </w:tr>
      <w:tr w:rsidR="00680083" w:rsidRPr="00827EA1" w14:paraId="7F20A3AE" w14:textId="77777777" w:rsidTr="0051608C">
        <w:tc>
          <w:tcPr>
            <w:tcW w:w="6105" w:type="dxa"/>
          </w:tcPr>
          <w:p w14:paraId="3D3DA99A" w14:textId="77777777" w:rsidR="00680083" w:rsidRPr="00827EA1" w:rsidRDefault="00680083" w:rsidP="00827EA1">
            <w:pPr>
              <w:jc w:val="both"/>
              <w:rPr>
                <w:rFonts w:cstheme="minorHAnsi"/>
              </w:rPr>
            </w:pPr>
            <w:r w:rsidRPr="00827EA1">
              <w:rPr>
                <w:rFonts w:cstheme="minorHAnsi"/>
              </w:rPr>
              <w:t>Utilisation durable et protection des ressources aquatiques et marines</w:t>
            </w:r>
          </w:p>
        </w:tc>
        <w:tc>
          <w:tcPr>
            <w:tcW w:w="598" w:type="dxa"/>
          </w:tcPr>
          <w:p w14:paraId="01A06080" w14:textId="77777777" w:rsidR="00680083" w:rsidRPr="00827EA1" w:rsidRDefault="00680083" w:rsidP="00827EA1">
            <w:pPr>
              <w:jc w:val="both"/>
              <w:rPr>
                <w:rFonts w:cstheme="minorHAnsi"/>
              </w:rPr>
            </w:pPr>
          </w:p>
        </w:tc>
        <w:tc>
          <w:tcPr>
            <w:tcW w:w="3674" w:type="dxa"/>
          </w:tcPr>
          <w:p w14:paraId="00A2C307" w14:textId="77777777" w:rsidR="00680083" w:rsidRPr="00827EA1" w:rsidRDefault="00680083" w:rsidP="00827EA1">
            <w:pPr>
              <w:jc w:val="both"/>
              <w:rPr>
                <w:rFonts w:cstheme="minorHAnsi"/>
              </w:rPr>
            </w:pPr>
          </w:p>
        </w:tc>
      </w:tr>
      <w:tr w:rsidR="00680083" w:rsidRPr="00827EA1" w14:paraId="74F519C6" w14:textId="77777777" w:rsidTr="0051608C">
        <w:tc>
          <w:tcPr>
            <w:tcW w:w="6105" w:type="dxa"/>
          </w:tcPr>
          <w:p w14:paraId="22344222" w14:textId="77777777" w:rsidR="00680083" w:rsidRPr="00827EA1" w:rsidRDefault="00680083" w:rsidP="00827EA1">
            <w:pPr>
              <w:jc w:val="both"/>
              <w:rPr>
                <w:rFonts w:cstheme="minorHAnsi"/>
              </w:rPr>
            </w:pPr>
            <w:r w:rsidRPr="00827EA1">
              <w:rPr>
                <w:rFonts w:cstheme="minorHAnsi"/>
              </w:rPr>
              <w:t>Economie circulaire, y compris la prévention des déchets et le recyclage</w:t>
            </w:r>
          </w:p>
        </w:tc>
        <w:tc>
          <w:tcPr>
            <w:tcW w:w="598" w:type="dxa"/>
          </w:tcPr>
          <w:p w14:paraId="49D9DD81" w14:textId="77777777" w:rsidR="00680083" w:rsidRPr="00827EA1" w:rsidRDefault="00680083" w:rsidP="00827EA1">
            <w:pPr>
              <w:jc w:val="both"/>
              <w:rPr>
                <w:rFonts w:cstheme="minorHAnsi"/>
              </w:rPr>
            </w:pPr>
          </w:p>
        </w:tc>
        <w:tc>
          <w:tcPr>
            <w:tcW w:w="3674" w:type="dxa"/>
          </w:tcPr>
          <w:p w14:paraId="46137ED2" w14:textId="77777777" w:rsidR="00680083" w:rsidRPr="00827EA1" w:rsidRDefault="00680083" w:rsidP="00827EA1">
            <w:pPr>
              <w:jc w:val="both"/>
              <w:rPr>
                <w:rFonts w:cstheme="minorHAnsi"/>
              </w:rPr>
            </w:pPr>
          </w:p>
        </w:tc>
      </w:tr>
      <w:tr w:rsidR="00680083" w:rsidRPr="00827EA1" w14:paraId="7797AAA0" w14:textId="77777777" w:rsidTr="0051608C">
        <w:tc>
          <w:tcPr>
            <w:tcW w:w="6105" w:type="dxa"/>
          </w:tcPr>
          <w:p w14:paraId="79EAB8D0" w14:textId="77777777" w:rsidR="00680083" w:rsidRPr="00827EA1" w:rsidRDefault="00680083" w:rsidP="00827EA1">
            <w:pPr>
              <w:jc w:val="both"/>
              <w:rPr>
                <w:rFonts w:cstheme="minorHAnsi"/>
              </w:rPr>
            </w:pPr>
            <w:r w:rsidRPr="00827EA1">
              <w:rPr>
                <w:rFonts w:cstheme="minorHAnsi"/>
              </w:rPr>
              <w:t>Prévention et réduction de la pollution de l’air, de l’eau et du sol</w:t>
            </w:r>
          </w:p>
        </w:tc>
        <w:tc>
          <w:tcPr>
            <w:tcW w:w="598" w:type="dxa"/>
          </w:tcPr>
          <w:p w14:paraId="3CC0F561" w14:textId="77777777" w:rsidR="00680083" w:rsidRPr="00827EA1" w:rsidRDefault="00680083" w:rsidP="00827EA1">
            <w:pPr>
              <w:jc w:val="both"/>
              <w:rPr>
                <w:rFonts w:cstheme="minorHAnsi"/>
              </w:rPr>
            </w:pPr>
          </w:p>
        </w:tc>
        <w:tc>
          <w:tcPr>
            <w:tcW w:w="3674" w:type="dxa"/>
          </w:tcPr>
          <w:p w14:paraId="519260C8" w14:textId="77777777" w:rsidR="00680083" w:rsidRPr="00827EA1" w:rsidRDefault="00680083" w:rsidP="00827EA1">
            <w:pPr>
              <w:jc w:val="both"/>
              <w:rPr>
                <w:rFonts w:cstheme="minorHAnsi"/>
              </w:rPr>
            </w:pPr>
          </w:p>
        </w:tc>
      </w:tr>
      <w:tr w:rsidR="00680083" w:rsidRPr="00827EA1" w14:paraId="79AC3586" w14:textId="77777777" w:rsidTr="0051608C">
        <w:tc>
          <w:tcPr>
            <w:tcW w:w="6105" w:type="dxa"/>
          </w:tcPr>
          <w:p w14:paraId="1079B164" w14:textId="77777777" w:rsidR="00680083" w:rsidRPr="00827EA1" w:rsidRDefault="00680083" w:rsidP="00827EA1">
            <w:pPr>
              <w:jc w:val="both"/>
              <w:rPr>
                <w:rFonts w:cstheme="minorHAnsi"/>
              </w:rPr>
            </w:pPr>
            <w:r w:rsidRPr="00827EA1">
              <w:rPr>
                <w:rFonts w:cstheme="minorHAnsi"/>
              </w:rPr>
              <w:t>Protection et restauration de la biodiversité et des écosystèmes</w:t>
            </w:r>
          </w:p>
        </w:tc>
        <w:tc>
          <w:tcPr>
            <w:tcW w:w="598" w:type="dxa"/>
          </w:tcPr>
          <w:p w14:paraId="27970725" w14:textId="77777777" w:rsidR="00680083" w:rsidRPr="00827EA1" w:rsidRDefault="00680083" w:rsidP="00827EA1">
            <w:pPr>
              <w:jc w:val="both"/>
              <w:rPr>
                <w:rFonts w:cstheme="minorHAnsi"/>
              </w:rPr>
            </w:pPr>
          </w:p>
        </w:tc>
        <w:tc>
          <w:tcPr>
            <w:tcW w:w="3674" w:type="dxa"/>
          </w:tcPr>
          <w:p w14:paraId="67F9EAA9" w14:textId="77777777" w:rsidR="00680083" w:rsidRPr="00827EA1" w:rsidRDefault="00680083" w:rsidP="00827EA1">
            <w:pPr>
              <w:jc w:val="both"/>
              <w:rPr>
                <w:rFonts w:cstheme="minorHAnsi"/>
              </w:rPr>
            </w:pPr>
          </w:p>
        </w:tc>
      </w:tr>
    </w:tbl>
    <w:p w14:paraId="2EA12E87" w14:textId="77777777" w:rsidR="00F609A0" w:rsidRPr="00827EA1" w:rsidRDefault="00F609A0" w:rsidP="00827EA1">
      <w:pPr>
        <w:spacing w:after="0" w:line="240" w:lineRule="auto"/>
        <w:jc w:val="both"/>
        <w:rPr>
          <w:rFonts w:cstheme="minorHAnsi"/>
        </w:rPr>
      </w:pPr>
    </w:p>
    <w:p w14:paraId="267FF1B3" w14:textId="1ADA3511" w:rsidR="00AD7E3F" w:rsidRPr="00827EA1" w:rsidRDefault="00200DFD" w:rsidP="00827EA1">
      <w:pPr>
        <w:spacing w:line="240" w:lineRule="auto"/>
        <w:jc w:val="both"/>
        <w:rPr>
          <w:rFonts w:cstheme="minorHAnsi"/>
        </w:rPr>
      </w:pPr>
      <w:r w:rsidRPr="00827EA1">
        <w:rPr>
          <w:rFonts w:cstheme="minorHAnsi"/>
        </w:rPr>
        <w:t>I</w:t>
      </w:r>
      <w:r w:rsidR="00AD7E3F" w:rsidRPr="00827EA1">
        <w:rPr>
          <w:rFonts w:cstheme="minorHAnsi"/>
        </w:rPr>
        <w:t>l est demandé</w:t>
      </w:r>
      <w:r w:rsidR="00B720E2" w:rsidRPr="00827EA1">
        <w:rPr>
          <w:rFonts w:cstheme="minorHAnsi"/>
        </w:rPr>
        <w:t xml:space="preserve"> dans ce cas</w:t>
      </w:r>
      <w:r w:rsidR="00AD7E3F" w:rsidRPr="00827EA1">
        <w:rPr>
          <w:rFonts w:cstheme="minorHAnsi"/>
        </w:rPr>
        <w:t xml:space="preserve"> de fournir une brève justification (dans la colonne de droite), expliquant pourquoi l’objectif environnemental n’exige pas une évaluation DNSH de fond de la mesure, sur la base d’un des cas suivants</w:t>
      </w:r>
      <w:r w:rsidR="00B720E2" w:rsidRPr="00827EA1">
        <w:rPr>
          <w:rFonts w:cstheme="minorHAnsi"/>
        </w:rPr>
        <w:t xml:space="preserve"> </w:t>
      </w:r>
      <w:r w:rsidR="00AD7E3F" w:rsidRPr="00827EA1">
        <w:rPr>
          <w:rFonts w:cstheme="minorHAnsi"/>
        </w:rPr>
        <w:t xml:space="preserve">: </w:t>
      </w:r>
    </w:p>
    <w:p w14:paraId="156820FE" w14:textId="1878D5B3" w:rsidR="00AD7E3F" w:rsidRPr="00827EA1" w:rsidRDefault="00AD7E3F" w:rsidP="00993E1B">
      <w:pPr>
        <w:pStyle w:val="Paragraphedeliste"/>
        <w:numPr>
          <w:ilvl w:val="2"/>
          <w:numId w:val="1"/>
        </w:numPr>
        <w:ind w:left="567"/>
        <w:jc w:val="both"/>
        <w:rPr>
          <w:rFonts w:cstheme="minorHAnsi"/>
        </w:rPr>
      </w:pPr>
      <w:r w:rsidRPr="00827EA1">
        <w:rPr>
          <w:rFonts w:cstheme="minorHAnsi"/>
        </w:rPr>
        <w:t>la mesure n’a aucune incidence prévisible ou a une incidence prévisible négligeable sur l’objectif environnemental liée aux effets directs et aux principaux effets indirects de la mesure tout au long de son cycle de vie, compte tenu de sa nature, et est donc considérée comme étant conforme au principe DNSH pour l’objectif concerné</w:t>
      </w:r>
      <w:r w:rsidR="00200DFD" w:rsidRPr="00827EA1">
        <w:rPr>
          <w:rFonts w:cstheme="minorHAnsi"/>
        </w:rPr>
        <w:t xml:space="preserve"> </w:t>
      </w:r>
      <w:r w:rsidRPr="00827EA1">
        <w:rPr>
          <w:rFonts w:cstheme="minorHAnsi"/>
        </w:rPr>
        <w:t xml:space="preserve">; </w:t>
      </w:r>
    </w:p>
    <w:p w14:paraId="56C67641" w14:textId="3D393EF6" w:rsidR="00AD7E3F" w:rsidRPr="00827EA1" w:rsidRDefault="00AD7E3F" w:rsidP="00993E1B">
      <w:pPr>
        <w:pStyle w:val="Paragraphedeliste"/>
        <w:numPr>
          <w:ilvl w:val="2"/>
          <w:numId w:val="1"/>
        </w:numPr>
        <w:ind w:left="567"/>
        <w:jc w:val="both"/>
        <w:rPr>
          <w:rFonts w:cstheme="minorHAnsi"/>
        </w:rPr>
      </w:pPr>
      <w:r w:rsidRPr="00827EA1">
        <w:rPr>
          <w:rFonts w:cstheme="minorHAnsi"/>
        </w:rPr>
        <w:t>la mesure est suivie car elle soutient à 100 % un objectif de changement climatique ou environnemental et est donc considérée comme étant conforme au principe DNSH pour l’objectif concerné</w:t>
      </w:r>
      <w:r w:rsidR="00200DFD" w:rsidRPr="00827EA1">
        <w:rPr>
          <w:rFonts w:cstheme="minorHAnsi"/>
        </w:rPr>
        <w:t xml:space="preserve"> </w:t>
      </w:r>
      <w:r w:rsidRPr="00827EA1">
        <w:rPr>
          <w:rFonts w:cstheme="minorHAnsi"/>
        </w:rPr>
        <w:t xml:space="preserve">; </w:t>
      </w:r>
    </w:p>
    <w:p w14:paraId="16B38E7B" w14:textId="4E02279A" w:rsidR="00AD7E3F" w:rsidRPr="00827EA1" w:rsidRDefault="00AD7E3F" w:rsidP="00993E1B">
      <w:pPr>
        <w:pStyle w:val="Paragraphedeliste"/>
        <w:numPr>
          <w:ilvl w:val="2"/>
          <w:numId w:val="1"/>
        </w:numPr>
        <w:ind w:left="567"/>
        <w:jc w:val="both"/>
        <w:rPr>
          <w:rFonts w:cstheme="minorHAnsi"/>
        </w:rPr>
      </w:pPr>
      <w:r w:rsidRPr="00827EA1">
        <w:rPr>
          <w:rFonts w:cstheme="minorHAnsi"/>
        </w:rPr>
        <w:t>la mesure «</w:t>
      </w:r>
      <w:r w:rsidR="00200DFD" w:rsidRPr="00827EA1">
        <w:rPr>
          <w:rFonts w:cstheme="minorHAnsi"/>
        </w:rPr>
        <w:t xml:space="preserve"> </w:t>
      </w:r>
      <w:r w:rsidRPr="00827EA1">
        <w:rPr>
          <w:rFonts w:cstheme="minorHAnsi"/>
        </w:rPr>
        <w:t>contribue de manière substantielle</w:t>
      </w:r>
      <w:r w:rsidR="00200DFD" w:rsidRPr="00827EA1">
        <w:rPr>
          <w:rFonts w:cstheme="minorHAnsi"/>
        </w:rPr>
        <w:t xml:space="preserve"> </w:t>
      </w:r>
      <w:r w:rsidRPr="00827EA1">
        <w:rPr>
          <w:rFonts w:cstheme="minorHAnsi"/>
        </w:rPr>
        <w:t xml:space="preserve">» à un objectif environnemental, conformément au règlement sur la taxinomie, et est donc considérée comme étant conforme au principe DNSH pour l’objectif concerné. </w:t>
      </w:r>
    </w:p>
    <w:p w14:paraId="7B027FA4" w14:textId="09D37B76" w:rsidR="00AD7E3F" w:rsidRPr="00827EA1" w:rsidRDefault="00AD7E3F" w:rsidP="00827EA1">
      <w:pPr>
        <w:spacing w:before="240"/>
        <w:jc w:val="both"/>
        <w:rPr>
          <w:rFonts w:cstheme="minorHAnsi"/>
        </w:rPr>
      </w:pPr>
      <w:r w:rsidRPr="00827EA1">
        <w:rPr>
          <w:rFonts w:cstheme="minorHAnsi"/>
        </w:rPr>
        <w:t>En ce qui concerne les mesures pour lesquelles l’approche simplifiée serait suffisante</w:t>
      </w:r>
      <w:r w:rsidR="00B720E2" w:rsidRPr="00827EA1">
        <w:rPr>
          <w:rFonts w:cstheme="minorHAnsi"/>
        </w:rPr>
        <w:t xml:space="preserve"> (mesures qui ont une incidence prévisible nulle ou négligeable sur l’ensemble ou une partie des six objectifs environnementaux)</w:t>
      </w:r>
      <w:r w:rsidRPr="00827EA1">
        <w:rPr>
          <w:rFonts w:cstheme="minorHAnsi"/>
        </w:rPr>
        <w:t>, les explications demandées (colonne de droite) peuvent être limitées au minimum et, si cela s’avère utile, être groupées, ce qui permettrait de se concentrer sur la démonstration de l’évaluation DNSH des mesures pour lesquelles une analyse de fond du possible préjudice important est nécessaire.</w:t>
      </w:r>
    </w:p>
    <w:p w14:paraId="0760A33E" w14:textId="16CCBB6F" w:rsidR="00200DFD" w:rsidRPr="00827EA1" w:rsidRDefault="00F609A0" w:rsidP="00827EA1">
      <w:pPr>
        <w:pStyle w:val="Paragraphedeliste"/>
        <w:numPr>
          <w:ilvl w:val="1"/>
          <w:numId w:val="1"/>
        </w:numPr>
        <w:jc w:val="both"/>
        <w:rPr>
          <w:rFonts w:cstheme="minorHAnsi"/>
          <w:b/>
          <w:bCs/>
          <w:u w:val="single"/>
        </w:rPr>
      </w:pPr>
      <w:r w:rsidRPr="00827EA1">
        <w:rPr>
          <w:rFonts w:cstheme="minorHAnsi"/>
          <w:b/>
          <w:bCs/>
          <w:u w:val="single"/>
        </w:rPr>
        <w:t>E</w:t>
      </w:r>
      <w:r w:rsidR="00D052F7" w:rsidRPr="00827EA1">
        <w:rPr>
          <w:rFonts w:cstheme="minorHAnsi"/>
          <w:b/>
          <w:bCs/>
          <w:u w:val="single"/>
        </w:rPr>
        <w:t>tape</w:t>
      </w:r>
      <w:r w:rsidR="00200DFD" w:rsidRPr="00827EA1">
        <w:rPr>
          <w:rFonts w:cstheme="minorHAnsi"/>
          <w:b/>
          <w:bCs/>
          <w:u w:val="single"/>
        </w:rPr>
        <w:t> </w:t>
      </w:r>
      <w:r w:rsidRPr="00827EA1">
        <w:rPr>
          <w:rFonts w:cstheme="minorHAnsi"/>
          <w:b/>
          <w:bCs/>
          <w:u w:val="single"/>
        </w:rPr>
        <w:t xml:space="preserve">3 </w:t>
      </w:r>
      <w:r w:rsidR="00200DFD" w:rsidRPr="00827EA1">
        <w:rPr>
          <w:rFonts w:cstheme="minorHAnsi"/>
          <w:b/>
          <w:bCs/>
          <w:u w:val="single"/>
        </w:rPr>
        <w:t>: Pour les questions où la réponse est « Oui »</w:t>
      </w:r>
    </w:p>
    <w:tbl>
      <w:tblPr>
        <w:tblStyle w:val="Grilledutableau"/>
        <w:tblW w:w="10349" w:type="dxa"/>
        <w:tblInd w:w="-289" w:type="dxa"/>
        <w:tblLook w:val="04A0" w:firstRow="1" w:lastRow="0" w:firstColumn="1" w:lastColumn="0" w:noHBand="0" w:noVBand="1"/>
      </w:tblPr>
      <w:tblGrid>
        <w:gridCol w:w="9812"/>
        <w:gridCol w:w="537"/>
      </w:tblGrid>
      <w:tr w:rsidR="00680083" w:rsidRPr="00827EA1" w14:paraId="232BCB79" w14:textId="77777777" w:rsidTr="00B720E2">
        <w:tc>
          <w:tcPr>
            <w:tcW w:w="9841" w:type="dxa"/>
            <w:shd w:val="clear" w:color="auto" w:fill="D9D9D9" w:themeFill="background1" w:themeFillShade="D9"/>
          </w:tcPr>
          <w:p w14:paraId="646E2CAA" w14:textId="77777777" w:rsidR="00680083" w:rsidRPr="00827EA1" w:rsidRDefault="00680083" w:rsidP="00827EA1">
            <w:pPr>
              <w:jc w:val="both"/>
              <w:rPr>
                <w:rFonts w:cstheme="minorHAnsi"/>
                <w:b/>
                <w:bCs/>
              </w:rPr>
            </w:pPr>
            <w:r w:rsidRPr="00827EA1">
              <w:rPr>
                <w:rFonts w:cstheme="minorHAnsi"/>
                <w:b/>
                <w:bCs/>
              </w:rPr>
              <w:t>Indiquer lesquels des objectifs environnementaux ci-dessous requièrent une évaluation DNSH de fond de la mesure</w:t>
            </w:r>
          </w:p>
        </w:tc>
        <w:tc>
          <w:tcPr>
            <w:tcW w:w="508" w:type="dxa"/>
            <w:shd w:val="clear" w:color="auto" w:fill="D9D9D9" w:themeFill="background1" w:themeFillShade="D9"/>
          </w:tcPr>
          <w:p w14:paraId="71B450A5" w14:textId="03ED345F" w:rsidR="00680083" w:rsidRPr="00827EA1" w:rsidRDefault="00680083" w:rsidP="00827EA1">
            <w:pPr>
              <w:jc w:val="both"/>
              <w:rPr>
                <w:rFonts w:cstheme="minorHAnsi"/>
                <w:b/>
                <w:bCs/>
              </w:rPr>
            </w:pPr>
            <w:r w:rsidRPr="00827EA1">
              <w:rPr>
                <w:rFonts w:cstheme="minorHAnsi"/>
                <w:b/>
                <w:bCs/>
              </w:rPr>
              <w:t>Oui</w:t>
            </w:r>
          </w:p>
        </w:tc>
      </w:tr>
      <w:tr w:rsidR="00680083" w:rsidRPr="00827EA1" w14:paraId="48BAA059" w14:textId="77777777" w:rsidTr="00B720E2">
        <w:tc>
          <w:tcPr>
            <w:tcW w:w="9841" w:type="dxa"/>
          </w:tcPr>
          <w:p w14:paraId="6229B46D" w14:textId="77777777" w:rsidR="00680083" w:rsidRPr="00827EA1" w:rsidRDefault="00680083" w:rsidP="00827EA1">
            <w:pPr>
              <w:jc w:val="both"/>
              <w:rPr>
                <w:rFonts w:cstheme="minorHAnsi"/>
              </w:rPr>
            </w:pPr>
            <w:r w:rsidRPr="00827EA1">
              <w:rPr>
                <w:rFonts w:cstheme="minorHAnsi"/>
              </w:rPr>
              <w:t>Atténuation du changement climatique</w:t>
            </w:r>
          </w:p>
        </w:tc>
        <w:tc>
          <w:tcPr>
            <w:tcW w:w="508" w:type="dxa"/>
          </w:tcPr>
          <w:p w14:paraId="74FBA0C5" w14:textId="77777777" w:rsidR="00680083" w:rsidRPr="00827EA1" w:rsidRDefault="00680083" w:rsidP="00827EA1">
            <w:pPr>
              <w:jc w:val="both"/>
              <w:rPr>
                <w:rFonts w:cstheme="minorHAnsi"/>
              </w:rPr>
            </w:pPr>
          </w:p>
        </w:tc>
      </w:tr>
      <w:tr w:rsidR="00680083" w:rsidRPr="00827EA1" w14:paraId="711959E0" w14:textId="77777777" w:rsidTr="00B720E2">
        <w:tc>
          <w:tcPr>
            <w:tcW w:w="9841" w:type="dxa"/>
          </w:tcPr>
          <w:p w14:paraId="3AA660F5" w14:textId="77777777" w:rsidR="00680083" w:rsidRPr="00827EA1" w:rsidRDefault="00680083" w:rsidP="00827EA1">
            <w:pPr>
              <w:jc w:val="both"/>
              <w:rPr>
                <w:rFonts w:cstheme="minorHAnsi"/>
              </w:rPr>
            </w:pPr>
            <w:r w:rsidRPr="00827EA1">
              <w:rPr>
                <w:rFonts w:cstheme="minorHAnsi"/>
              </w:rPr>
              <w:t>Adaptation du changement climatique</w:t>
            </w:r>
          </w:p>
        </w:tc>
        <w:tc>
          <w:tcPr>
            <w:tcW w:w="508" w:type="dxa"/>
          </w:tcPr>
          <w:p w14:paraId="1BE25CB1" w14:textId="77777777" w:rsidR="00680083" w:rsidRPr="00827EA1" w:rsidRDefault="00680083" w:rsidP="00827EA1">
            <w:pPr>
              <w:jc w:val="both"/>
              <w:rPr>
                <w:rFonts w:cstheme="minorHAnsi"/>
              </w:rPr>
            </w:pPr>
          </w:p>
        </w:tc>
      </w:tr>
      <w:tr w:rsidR="00680083" w:rsidRPr="00827EA1" w14:paraId="3A52ED8D" w14:textId="77777777" w:rsidTr="00B720E2">
        <w:tc>
          <w:tcPr>
            <w:tcW w:w="9841" w:type="dxa"/>
          </w:tcPr>
          <w:p w14:paraId="7499E946" w14:textId="77777777" w:rsidR="00680083" w:rsidRPr="00827EA1" w:rsidRDefault="00680083" w:rsidP="00827EA1">
            <w:pPr>
              <w:jc w:val="both"/>
              <w:rPr>
                <w:rFonts w:cstheme="minorHAnsi"/>
              </w:rPr>
            </w:pPr>
            <w:r w:rsidRPr="00827EA1">
              <w:rPr>
                <w:rFonts w:cstheme="minorHAnsi"/>
              </w:rPr>
              <w:t>Utilisation durable et protection des ressources aquatiques et marines</w:t>
            </w:r>
          </w:p>
        </w:tc>
        <w:tc>
          <w:tcPr>
            <w:tcW w:w="508" w:type="dxa"/>
          </w:tcPr>
          <w:p w14:paraId="4F9708DB" w14:textId="77777777" w:rsidR="00680083" w:rsidRPr="00827EA1" w:rsidRDefault="00680083" w:rsidP="00827EA1">
            <w:pPr>
              <w:jc w:val="both"/>
              <w:rPr>
                <w:rFonts w:cstheme="minorHAnsi"/>
              </w:rPr>
            </w:pPr>
          </w:p>
        </w:tc>
      </w:tr>
      <w:tr w:rsidR="00680083" w:rsidRPr="00827EA1" w14:paraId="3EFFB83F" w14:textId="77777777" w:rsidTr="00B720E2">
        <w:tc>
          <w:tcPr>
            <w:tcW w:w="9841" w:type="dxa"/>
          </w:tcPr>
          <w:p w14:paraId="1A701D0E" w14:textId="77777777" w:rsidR="00680083" w:rsidRPr="00827EA1" w:rsidRDefault="00680083" w:rsidP="00827EA1">
            <w:pPr>
              <w:jc w:val="both"/>
              <w:rPr>
                <w:rFonts w:cstheme="minorHAnsi"/>
              </w:rPr>
            </w:pPr>
            <w:r w:rsidRPr="00827EA1">
              <w:rPr>
                <w:rFonts w:cstheme="minorHAnsi"/>
              </w:rPr>
              <w:t>Economie circulaire, y compris la prévention des déchets et le recyclage</w:t>
            </w:r>
          </w:p>
        </w:tc>
        <w:tc>
          <w:tcPr>
            <w:tcW w:w="508" w:type="dxa"/>
          </w:tcPr>
          <w:p w14:paraId="5A176BF7" w14:textId="77777777" w:rsidR="00680083" w:rsidRPr="00827EA1" w:rsidRDefault="00680083" w:rsidP="00827EA1">
            <w:pPr>
              <w:jc w:val="both"/>
              <w:rPr>
                <w:rFonts w:cstheme="minorHAnsi"/>
              </w:rPr>
            </w:pPr>
          </w:p>
        </w:tc>
      </w:tr>
      <w:tr w:rsidR="00680083" w:rsidRPr="00827EA1" w14:paraId="62B1913B" w14:textId="77777777" w:rsidTr="00B720E2">
        <w:tc>
          <w:tcPr>
            <w:tcW w:w="9841" w:type="dxa"/>
          </w:tcPr>
          <w:p w14:paraId="734C1409" w14:textId="77777777" w:rsidR="00680083" w:rsidRPr="00827EA1" w:rsidRDefault="00680083" w:rsidP="00827EA1">
            <w:pPr>
              <w:jc w:val="both"/>
              <w:rPr>
                <w:rFonts w:cstheme="minorHAnsi"/>
              </w:rPr>
            </w:pPr>
            <w:r w:rsidRPr="00827EA1">
              <w:rPr>
                <w:rFonts w:cstheme="minorHAnsi"/>
              </w:rPr>
              <w:t>Prévention et réduction de la pollution de l’air, de l’eau et du sol</w:t>
            </w:r>
          </w:p>
        </w:tc>
        <w:tc>
          <w:tcPr>
            <w:tcW w:w="508" w:type="dxa"/>
          </w:tcPr>
          <w:p w14:paraId="48A9A497" w14:textId="77777777" w:rsidR="00680083" w:rsidRPr="00827EA1" w:rsidRDefault="00680083" w:rsidP="00827EA1">
            <w:pPr>
              <w:jc w:val="both"/>
              <w:rPr>
                <w:rFonts w:cstheme="minorHAnsi"/>
              </w:rPr>
            </w:pPr>
          </w:p>
        </w:tc>
      </w:tr>
      <w:tr w:rsidR="00680083" w:rsidRPr="00827EA1" w14:paraId="0DB28DA0" w14:textId="77777777" w:rsidTr="00B720E2">
        <w:tc>
          <w:tcPr>
            <w:tcW w:w="9841" w:type="dxa"/>
          </w:tcPr>
          <w:p w14:paraId="511D6E02" w14:textId="77777777" w:rsidR="00680083" w:rsidRPr="00827EA1" w:rsidRDefault="00680083" w:rsidP="00827EA1">
            <w:pPr>
              <w:jc w:val="both"/>
              <w:rPr>
                <w:rFonts w:cstheme="minorHAnsi"/>
              </w:rPr>
            </w:pPr>
            <w:r w:rsidRPr="00827EA1">
              <w:rPr>
                <w:rFonts w:cstheme="minorHAnsi"/>
              </w:rPr>
              <w:t>Protection et restauration de la biodiversité et des écosystèmes</w:t>
            </w:r>
          </w:p>
        </w:tc>
        <w:tc>
          <w:tcPr>
            <w:tcW w:w="508" w:type="dxa"/>
          </w:tcPr>
          <w:p w14:paraId="711219F1" w14:textId="77777777" w:rsidR="00680083" w:rsidRPr="00827EA1" w:rsidRDefault="00680083" w:rsidP="00827EA1">
            <w:pPr>
              <w:jc w:val="both"/>
              <w:rPr>
                <w:rFonts w:cstheme="minorHAnsi"/>
              </w:rPr>
            </w:pPr>
          </w:p>
        </w:tc>
      </w:tr>
    </w:tbl>
    <w:p w14:paraId="5268EAD7" w14:textId="2BDF28C1" w:rsidR="004425CB" w:rsidRPr="00827EA1" w:rsidRDefault="00D052F7" w:rsidP="00827EA1">
      <w:pPr>
        <w:spacing w:before="240"/>
        <w:jc w:val="both"/>
        <w:rPr>
          <w:rFonts w:cstheme="minorHAnsi"/>
        </w:rPr>
      </w:pPr>
      <w:r w:rsidRPr="00827EA1">
        <w:rPr>
          <w:rFonts w:cstheme="minorHAnsi"/>
        </w:rPr>
        <w:lastRenderedPageBreak/>
        <w:t xml:space="preserve">Pour cette étape, il faut procéder à une évaluation DNSH de fond pour les objectifs environnementaux pour lesquels il a été répondu « Oui » à l’étape 1. </w:t>
      </w:r>
      <w:r w:rsidR="00F46AB9" w:rsidRPr="00827EA1">
        <w:rPr>
          <w:rFonts w:cstheme="minorHAnsi"/>
        </w:rPr>
        <w:t>Le tableau ci-dessous</w:t>
      </w:r>
      <w:r w:rsidRPr="00827EA1">
        <w:rPr>
          <w:rFonts w:cstheme="minorHAnsi"/>
        </w:rPr>
        <w:t xml:space="preserve"> compile, pour chacun des six objectifs, les questions correspondant aux exigences légales de l’évaluation DNSH. Pour que les mesures soient incluses dans le plan, elles doivent respecter le principe DNSH. En conséquence, les réponses </w:t>
      </w:r>
      <w:r w:rsidR="00F46AB9" w:rsidRPr="00827EA1">
        <w:rPr>
          <w:rFonts w:cstheme="minorHAnsi"/>
        </w:rPr>
        <w:t>à ces</w:t>
      </w:r>
      <w:r w:rsidRPr="00827EA1">
        <w:rPr>
          <w:rFonts w:cstheme="minorHAnsi"/>
        </w:rPr>
        <w:t xml:space="preserve"> questions doivent être «</w:t>
      </w:r>
      <w:r w:rsidR="00680083" w:rsidRPr="00827EA1">
        <w:rPr>
          <w:rFonts w:cstheme="minorHAnsi"/>
        </w:rPr>
        <w:t xml:space="preserve"> </w:t>
      </w:r>
      <w:r w:rsidRPr="00827EA1">
        <w:rPr>
          <w:rFonts w:cstheme="minorHAnsi"/>
        </w:rPr>
        <w:t>non</w:t>
      </w:r>
      <w:r w:rsidR="00680083" w:rsidRPr="00827EA1">
        <w:rPr>
          <w:rFonts w:cstheme="minorHAnsi"/>
        </w:rPr>
        <w:t xml:space="preserve"> </w:t>
      </w:r>
      <w:r w:rsidRPr="00827EA1">
        <w:rPr>
          <w:rFonts w:cstheme="minorHAnsi"/>
        </w:rPr>
        <w:t>», afin d’indiquer qu’aucun préjudice important n’est causé à l’objectif environnemental spécifique.</w:t>
      </w:r>
    </w:p>
    <w:p w14:paraId="753A09F1" w14:textId="337B3C17" w:rsidR="00C57430" w:rsidRPr="00827EA1" w:rsidRDefault="00FC017B" w:rsidP="00827EA1">
      <w:pPr>
        <w:jc w:val="both"/>
        <w:rPr>
          <w:rFonts w:cstheme="minorHAnsi"/>
        </w:rPr>
      </w:pPr>
      <w:r w:rsidRPr="00827EA1">
        <w:rPr>
          <w:rFonts w:cstheme="minorHAnsi"/>
        </w:rPr>
        <w:t xml:space="preserve">Il est </w:t>
      </w:r>
      <w:r w:rsidR="00F46AB9" w:rsidRPr="00827EA1">
        <w:rPr>
          <w:rFonts w:cstheme="minorHAnsi"/>
        </w:rPr>
        <w:t xml:space="preserve">donc </w:t>
      </w:r>
      <w:r w:rsidRPr="00827EA1">
        <w:rPr>
          <w:rFonts w:cstheme="minorHAnsi"/>
        </w:rPr>
        <w:t xml:space="preserve">demandé de confirmer que la réponse est « non » et de fournir une explication et une justification de fond de leur raisonnement dans la colonne de droite, sur la base des questions correspondantes. Si nécessaire, pour compléter le tableau, </w:t>
      </w:r>
      <w:r w:rsidR="00F46AB9" w:rsidRPr="00827EA1">
        <w:rPr>
          <w:rFonts w:cstheme="minorHAnsi"/>
        </w:rPr>
        <w:t>il peut être</w:t>
      </w:r>
      <w:r w:rsidRPr="00827EA1">
        <w:rPr>
          <w:rFonts w:cstheme="minorHAnsi"/>
        </w:rPr>
        <w:t xml:space="preserve"> </w:t>
      </w:r>
      <w:r w:rsidR="00F46AB9" w:rsidRPr="00827EA1">
        <w:rPr>
          <w:rFonts w:cstheme="minorHAnsi"/>
        </w:rPr>
        <w:t>joint</w:t>
      </w:r>
      <w:r w:rsidRPr="00827EA1">
        <w:rPr>
          <w:rFonts w:cstheme="minorHAnsi"/>
        </w:rPr>
        <w:t xml:space="preserve"> des analyses et/ou des documents justificatifs supplémentaires, d’une manière ciblée et limitée, afin d’étayer davantage les réponses à la liste de questions.</w:t>
      </w:r>
    </w:p>
    <w:tbl>
      <w:tblPr>
        <w:tblStyle w:val="Grilledutableau"/>
        <w:tblW w:w="9776" w:type="dxa"/>
        <w:tblLook w:val="04A0" w:firstRow="1" w:lastRow="0" w:firstColumn="1" w:lastColumn="0" w:noHBand="0" w:noVBand="1"/>
      </w:tblPr>
      <w:tblGrid>
        <w:gridCol w:w="6374"/>
        <w:gridCol w:w="709"/>
        <w:gridCol w:w="2693"/>
      </w:tblGrid>
      <w:tr w:rsidR="00680083" w:rsidRPr="00827EA1" w14:paraId="25EF1852" w14:textId="77777777" w:rsidTr="00660A4F">
        <w:tc>
          <w:tcPr>
            <w:tcW w:w="6374" w:type="dxa"/>
            <w:shd w:val="clear" w:color="auto" w:fill="D9D9D9" w:themeFill="background1" w:themeFillShade="D9"/>
          </w:tcPr>
          <w:p w14:paraId="03A2C66C" w14:textId="4FB4086D" w:rsidR="00680083" w:rsidRPr="00827EA1" w:rsidRDefault="00680083" w:rsidP="00827EA1">
            <w:pPr>
              <w:jc w:val="both"/>
              <w:rPr>
                <w:rFonts w:cstheme="minorHAnsi"/>
                <w:b/>
                <w:bCs/>
              </w:rPr>
            </w:pPr>
            <w:r w:rsidRPr="00827EA1">
              <w:rPr>
                <w:rFonts w:cstheme="minorHAnsi"/>
                <w:b/>
                <w:bCs/>
              </w:rPr>
              <w:t>Questions</w:t>
            </w:r>
          </w:p>
        </w:tc>
        <w:tc>
          <w:tcPr>
            <w:tcW w:w="709" w:type="dxa"/>
            <w:shd w:val="clear" w:color="auto" w:fill="D9D9D9" w:themeFill="background1" w:themeFillShade="D9"/>
          </w:tcPr>
          <w:p w14:paraId="01752D8A" w14:textId="77777777" w:rsidR="00680083" w:rsidRPr="00827EA1" w:rsidRDefault="00680083" w:rsidP="00827EA1">
            <w:pPr>
              <w:jc w:val="both"/>
              <w:rPr>
                <w:rFonts w:cstheme="minorHAnsi"/>
                <w:b/>
                <w:bCs/>
              </w:rPr>
            </w:pPr>
            <w:r w:rsidRPr="00827EA1">
              <w:rPr>
                <w:rFonts w:cstheme="minorHAnsi"/>
                <w:b/>
                <w:bCs/>
              </w:rPr>
              <w:t>Non</w:t>
            </w:r>
          </w:p>
        </w:tc>
        <w:tc>
          <w:tcPr>
            <w:tcW w:w="2693" w:type="dxa"/>
            <w:shd w:val="clear" w:color="auto" w:fill="D9D9D9" w:themeFill="background1" w:themeFillShade="D9"/>
          </w:tcPr>
          <w:p w14:paraId="0760C195" w14:textId="5E162B55" w:rsidR="00680083" w:rsidRPr="00827EA1" w:rsidRDefault="00680083" w:rsidP="00827EA1">
            <w:pPr>
              <w:jc w:val="both"/>
              <w:rPr>
                <w:rFonts w:cstheme="minorHAnsi"/>
                <w:b/>
                <w:bCs/>
              </w:rPr>
            </w:pPr>
            <w:r w:rsidRPr="00827EA1">
              <w:rPr>
                <w:rFonts w:cstheme="minorHAnsi"/>
                <w:b/>
                <w:bCs/>
              </w:rPr>
              <w:t>Justification de fond</w:t>
            </w:r>
          </w:p>
        </w:tc>
      </w:tr>
      <w:tr w:rsidR="00680083" w:rsidRPr="00827EA1" w14:paraId="260E27EF" w14:textId="77777777" w:rsidTr="00660A4F">
        <w:tc>
          <w:tcPr>
            <w:tcW w:w="6374" w:type="dxa"/>
          </w:tcPr>
          <w:p w14:paraId="218A8DD6" w14:textId="77777777" w:rsidR="00680083" w:rsidRPr="00827EA1" w:rsidRDefault="00680083" w:rsidP="00D65DE6">
            <w:pPr>
              <w:pStyle w:val="Paragraphedeliste"/>
              <w:numPr>
                <w:ilvl w:val="0"/>
                <w:numId w:val="2"/>
              </w:numPr>
              <w:ind w:left="316"/>
              <w:jc w:val="both"/>
              <w:rPr>
                <w:rFonts w:cstheme="minorHAnsi"/>
                <w:b/>
                <w:bCs/>
              </w:rPr>
            </w:pPr>
            <w:r w:rsidRPr="00827EA1">
              <w:rPr>
                <w:rFonts w:cstheme="minorHAnsi"/>
                <w:b/>
                <w:bCs/>
              </w:rPr>
              <w:t>Atténuation du changement climatique</w:t>
            </w:r>
          </w:p>
          <w:p w14:paraId="6084C0B1" w14:textId="48E79A4A" w:rsidR="00680083" w:rsidRPr="00827EA1" w:rsidRDefault="00680083" w:rsidP="00D65DE6">
            <w:pPr>
              <w:jc w:val="both"/>
              <w:rPr>
                <w:rFonts w:cstheme="minorHAnsi"/>
              </w:rPr>
            </w:pPr>
            <w:r w:rsidRPr="00827EA1">
              <w:rPr>
                <w:rFonts w:cstheme="minorHAnsi"/>
                <w:i/>
                <w:iCs/>
              </w:rPr>
              <w:t>La mesure risque-t-elle d’engendrer d’importantes émissions de gaz à effet de serre ?</w:t>
            </w:r>
          </w:p>
        </w:tc>
        <w:tc>
          <w:tcPr>
            <w:tcW w:w="709" w:type="dxa"/>
          </w:tcPr>
          <w:p w14:paraId="5A8827A0" w14:textId="77777777" w:rsidR="00680083" w:rsidRPr="00827EA1" w:rsidRDefault="00680083" w:rsidP="00827EA1">
            <w:pPr>
              <w:jc w:val="both"/>
              <w:rPr>
                <w:rFonts w:cstheme="minorHAnsi"/>
              </w:rPr>
            </w:pPr>
          </w:p>
        </w:tc>
        <w:tc>
          <w:tcPr>
            <w:tcW w:w="2693" w:type="dxa"/>
          </w:tcPr>
          <w:p w14:paraId="7332DA56" w14:textId="77777777" w:rsidR="00680083" w:rsidRPr="00827EA1" w:rsidRDefault="00680083" w:rsidP="00827EA1">
            <w:pPr>
              <w:jc w:val="both"/>
              <w:rPr>
                <w:rFonts w:cstheme="minorHAnsi"/>
                <w:i/>
                <w:iCs/>
              </w:rPr>
            </w:pPr>
          </w:p>
          <w:p w14:paraId="34651CC9" w14:textId="49DB0A9C" w:rsidR="00680083" w:rsidRPr="00827EA1" w:rsidRDefault="00680083" w:rsidP="00827EA1">
            <w:pPr>
              <w:jc w:val="both"/>
              <w:rPr>
                <w:rFonts w:cstheme="minorHAnsi"/>
              </w:rPr>
            </w:pPr>
          </w:p>
        </w:tc>
      </w:tr>
      <w:tr w:rsidR="00680083" w:rsidRPr="00827EA1" w14:paraId="7D6E5BD6" w14:textId="77777777" w:rsidTr="00660A4F">
        <w:tc>
          <w:tcPr>
            <w:tcW w:w="6374" w:type="dxa"/>
          </w:tcPr>
          <w:p w14:paraId="7383CFFC" w14:textId="2CF5887D" w:rsidR="00680083" w:rsidRPr="00827EA1" w:rsidRDefault="00680083" w:rsidP="00D65DE6">
            <w:pPr>
              <w:pStyle w:val="Paragraphedeliste"/>
              <w:numPr>
                <w:ilvl w:val="0"/>
                <w:numId w:val="2"/>
              </w:numPr>
              <w:ind w:left="316"/>
              <w:jc w:val="both"/>
              <w:rPr>
                <w:rFonts w:cstheme="minorHAnsi"/>
                <w:b/>
                <w:bCs/>
              </w:rPr>
            </w:pPr>
            <w:r w:rsidRPr="00827EA1">
              <w:rPr>
                <w:rFonts w:cstheme="minorHAnsi"/>
                <w:b/>
                <w:bCs/>
              </w:rPr>
              <w:t>Adaptation du changement climatique</w:t>
            </w:r>
          </w:p>
          <w:p w14:paraId="081EB84C" w14:textId="7816EEB5" w:rsidR="00680083" w:rsidRPr="00827EA1" w:rsidRDefault="00680083" w:rsidP="00D65DE6">
            <w:pPr>
              <w:jc w:val="both"/>
              <w:rPr>
                <w:rFonts w:cstheme="minorHAnsi"/>
                <w:i/>
                <w:iCs/>
              </w:rPr>
            </w:pPr>
            <w:r w:rsidRPr="00827EA1">
              <w:rPr>
                <w:rFonts w:cstheme="minorHAnsi"/>
                <w:i/>
                <w:iCs/>
              </w:rPr>
              <w:t>La mesure risque-t-elle d’entraîner une augmentation des incidences négatives du climat actuel et de son évolution attendue sur elle-même ou sur la population, la nature ou les biens ?</w:t>
            </w:r>
          </w:p>
        </w:tc>
        <w:tc>
          <w:tcPr>
            <w:tcW w:w="709" w:type="dxa"/>
          </w:tcPr>
          <w:p w14:paraId="59CCAC36" w14:textId="77777777" w:rsidR="00680083" w:rsidRPr="00827EA1" w:rsidRDefault="00680083" w:rsidP="00827EA1">
            <w:pPr>
              <w:jc w:val="both"/>
              <w:rPr>
                <w:rFonts w:cstheme="minorHAnsi"/>
              </w:rPr>
            </w:pPr>
          </w:p>
        </w:tc>
        <w:tc>
          <w:tcPr>
            <w:tcW w:w="2693" w:type="dxa"/>
          </w:tcPr>
          <w:p w14:paraId="6CE1DB3F" w14:textId="77777777" w:rsidR="00680083" w:rsidRPr="00827EA1" w:rsidRDefault="00680083" w:rsidP="00827EA1">
            <w:pPr>
              <w:jc w:val="both"/>
              <w:rPr>
                <w:rFonts w:cstheme="minorHAnsi"/>
                <w:i/>
                <w:iCs/>
              </w:rPr>
            </w:pPr>
          </w:p>
          <w:p w14:paraId="1BF76870" w14:textId="22F35A74" w:rsidR="00680083" w:rsidRPr="00827EA1" w:rsidRDefault="00680083" w:rsidP="00827EA1">
            <w:pPr>
              <w:jc w:val="both"/>
              <w:rPr>
                <w:rFonts w:cstheme="minorHAnsi"/>
              </w:rPr>
            </w:pPr>
          </w:p>
        </w:tc>
      </w:tr>
      <w:tr w:rsidR="00680083" w:rsidRPr="00827EA1" w14:paraId="59DF1EBA" w14:textId="77777777" w:rsidTr="00660A4F">
        <w:tc>
          <w:tcPr>
            <w:tcW w:w="6374" w:type="dxa"/>
          </w:tcPr>
          <w:p w14:paraId="78DA15B3" w14:textId="77777777" w:rsidR="00680083" w:rsidRPr="00827EA1" w:rsidRDefault="00680083" w:rsidP="00D65DE6">
            <w:pPr>
              <w:pStyle w:val="Paragraphedeliste"/>
              <w:numPr>
                <w:ilvl w:val="0"/>
                <w:numId w:val="2"/>
              </w:numPr>
              <w:ind w:left="316"/>
              <w:jc w:val="both"/>
              <w:rPr>
                <w:rFonts w:cstheme="minorHAnsi"/>
                <w:b/>
                <w:bCs/>
              </w:rPr>
            </w:pPr>
            <w:r w:rsidRPr="00827EA1">
              <w:rPr>
                <w:rFonts w:cstheme="minorHAnsi"/>
                <w:b/>
                <w:bCs/>
              </w:rPr>
              <w:t>Utilisation durable et protection des ressources aquatiques et marines</w:t>
            </w:r>
          </w:p>
          <w:p w14:paraId="25D37D19" w14:textId="77777777" w:rsidR="00680083" w:rsidRPr="00827EA1" w:rsidRDefault="00680083" w:rsidP="00827EA1">
            <w:pPr>
              <w:jc w:val="both"/>
              <w:rPr>
                <w:rFonts w:cstheme="minorHAnsi"/>
                <w:i/>
                <w:iCs/>
              </w:rPr>
            </w:pPr>
            <w:r w:rsidRPr="00827EA1">
              <w:rPr>
                <w:rFonts w:cstheme="minorHAnsi"/>
                <w:i/>
                <w:iCs/>
              </w:rPr>
              <w:t xml:space="preserve">La mesure risque-t-elle d’être préjudiciable : </w:t>
            </w:r>
          </w:p>
          <w:p w14:paraId="7D9C893E" w14:textId="22D09030" w:rsidR="00680083" w:rsidRPr="00827EA1" w:rsidRDefault="00680083" w:rsidP="00827EA1">
            <w:pPr>
              <w:jc w:val="both"/>
              <w:rPr>
                <w:rFonts w:cstheme="minorHAnsi"/>
                <w:i/>
                <w:iCs/>
              </w:rPr>
            </w:pPr>
            <w:r w:rsidRPr="00827EA1">
              <w:rPr>
                <w:rFonts w:cstheme="minorHAnsi"/>
                <w:i/>
                <w:iCs/>
              </w:rPr>
              <w:t xml:space="preserve">i. au bon état ou au bon potentiel écologique des masses d’eau, y compris les eaux de surface et les eaux souterraines ; </w:t>
            </w:r>
            <w:proofErr w:type="gramStart"/>
            <w:r w:rsidRPr="00827EA1">
              <w:rPr>
                <w:rFonts w:cstheme="minorHAnsi"/>
                <w:i/>
                <w:iCs/>
              </w:rPr>
              <w:t>ou</w:t>
            </w:r>
            <w:proofErr w:type="gramEnd"/>
            <w:r w:rsidRPr="00827EA1">
              <w:rPr>
                <w:rFonts w:cstheme="minorHAnsi"/>
                <w:i/>
                <w:iCs/>
              </w:rPr>
              <w:t xml:space="preserve"> </w:t>
            </w:r>
          </w:p>
          <w:p w14:paraId="0DC62811" w14:textId="47DD5E20" w:rsidR="00680083" w:rsidRPr="00827EA1" w:rsidRDefault="00680083" w:rsidP="00D65DE6">
            <w:pPr>
              <w:jc w:val="both"/>
              <w:rPr>
                <w:rFonts w:cstheme="minorHAnsi"/>
              </w:rPr>
            </w:pPr>
            <w:r w:rsidRPr="00827EA1">
              <w:rPr>
                <w:rFonts w:cstheme="minorHAnsi"/>
                <w:i/>
                <w:iCs/>
              </w:rPr>
              <w:t>ii. au bon état écologique des eaux marines ?</w:t>
            </w:r>
          </w:p>
        </w:tc>
        <w:tc>
          <w:tcPr>
            <w:tcW w:w="709" w:type="dxa"/>
          </w:tcPr>
          <w:p w14:paraId="276C203D" w14:textId="77777777" w:rsidR="00680083" w:rsidRPr="00827EA1" w:rsidRDefault="00680083" w:rsidP="00827EA1">
            <w:pPr>
              <w:jc w:val="both"/>
              <w:rPr>
                <w:rFonts w:cstheme="minorHAnsi"/>
              </w:rPr>
            </w:pPr>
          </w:p>
        </w:tc>
        <w:tc>
          <w:tcPr>
            <w:tcW w:w="2693" w:type="dxa"/>
          </w:tcPr>
          <w:p w14:paraId="14E8E9A0" w14:textId="77777777" w:rsidR="00680083" w:rsidRPr="00827EA1" w:rsidRDefault="00680083" w:rsidP="00827EA1">
            <w:pPr>
              <w:jc w:val="both"/>
              <w:rPr>
                <w:rFonts w:cstheme="minorHAnsi"/>
              </w:rPr>
            </w:pPr>
          </w:p>
          <w:p w14:paraId="7A1D875E" w14:textId="093A194A" w:rsidR="00680083" w:rsidRPr="00827EA1" w:rsidRDefault="00680083" w:rsidP="00827EA1">
            <w:pPr>
              <w:jc w:val="both"/>
              <w:rPr>
                <w:rFonts w:cstheme="minorHAnsi"/>
              </w:rPr>
            </w:pPr>
          </w:p>
        </w:tc>
      </w:tr>
      <w:tr w:rsidR="00680083" w:rsidRPr="00827EA1" w14:paraId="0C9CC79A" w14:textId="77777777" w:rsidTr="00660A4F">
        <w:tc>
          <w:tcPr>
            <w:tcW w:w="6374" w:type="dxa"/>
          </w:tcPr>
          <w:p w14:paraId="6E7E9113" w14:textId="1D4A439E" w:rsidR="00680083" w:rsidRPr="00827EA1" w:rsidRDefault="00680083" w:rsidP="00D65DE6">
            <w:pPr>
              <w:pStyle w:val="Paragraphedeliste"/>
              <w:numPr>
                <w:ilvl w:val="0"/>
                <w:numId w:val="2"/>
              </w:numPr>
              <w:ind w:left="316"/>
              <w:jc w:val="both"/>
              <w:rPr>
                <w:rFonts w:cstheme="minorHAnsi"/>
                <w:b/>
                <w:bCs/>
              </w:rPr>
            </w:pPr>
            <w:r w:rsidRPr="00827EA1">
              <w:rPr>
                <w:rFonts w:cstheme="minorHAnsi"/>
                <w:b/>
                <w:bCs/>
              </w:rPr>
              <w:t>Economie circulaire, y compris la prévention des déchets et le recyclage</w:t>
            </w:r>
          </w:p>
          <w:p w14:paraId="0E8150E9" w14:textId="77777777" w:rsidR="00680083" w:rsidRPr="00827EA1" w:rsidRDefault="00680083" w:rsidP="00827EA1">
            <w:pPr>
              <w:jc w:val="both"/>
              <w:rPr>
                <w:rFonts w:cstheme="minorHAnsi"/>
                <w:i/>
                <w:iCs/>
              </w:rPr>
            </w:pPr>
            <w:r w:rsidRPr="00827EA1">
              <w:rPr>
                <w:rFonts w:cstheme="minorHAnsi"/>
                <w:i/>
                <w:iCs/>
              </w:rPr>
              <w:t xml:space="preserve">La mesure risque-t- elle : </w:t>
            </w:r>
          </w:p>
          <w:p w14:paraId="1209A518" w14:textId="77777777" w:rsidR="00680083" w:rsidRPr="00827EA1" w:rsidRDefault="00680083" w:rsidP="00827EA1">
            <w:pPr>
              <w:jc w:val="both"/>
              <w:rPr>
                <w:rFonts w:cstheme="minorHAnsi"/>
                <w:i/>
                <w:iCs/>
              </w:rPr>
            </w:pPr>
            <w:r w:rsidRPr="00827EA1">
              <w:rPr>
                <w:rFonts w:cstheme="minorHAnsi"/>
                <w:i/>
                <w:iCs/>
              </w:rPr>
              <w:t xml:space="preserve">i. d’entraîner une augmentation notable de la production, de l’incinération ou de l’élimination de déchets, à l’exception de l’incinération de déchets dangereux non recyclables ; </w:t>
            </w:r>
            <w:proofErr w:type="gramStart"/>
            <w:r w:rsidRPr="00827EA1">
              <w:rPr>
                <w:rFonts w:cstheme="minorHAnsi"/>
                <w:i/>
                <w:iCs/>
              </w:rPr>
              <w:t>ou</w:t>
            </w:r>
            <w:proofErr w:type="gramEnd"/>
            <w:r w:rsidRPr="00827EA1">
              <w:rPr>
                <w:rFonts w:cstheme="minorHAnsi"/>
                <w:i/>
                <w:iCs/>
              </w:rPr>
              <w:t xml:space="preserve"> </w:t>
            </w:r>
          </w:p>
          <w:p w14:paraId="170F4C85" w14:textId="77777777" w:rsidR="00680083" w:rsidRPr="00827EA1" w:rsidRDefault="00680083" w:rsidP="00827EA1">
            <w:pPr>
              <w:jc w:val="both"/>
              <w:rPr>
                <w:rFonts w:cstheme="minorHAnsi"/>
                <w:i/>
                <w:iCs/>
              </w:rPr>
            </w:pPr>
          </w:p>
          <w:p w14:paraId="40F74E64" w14:textId="77777777" w:rsidR="00680083" w:rsidRPr="00827EA1" w:rsidRDefault="00680083" w:rsidP="00827EA1">
            <w:pPr>
              <w:jc w:val="both"/>
              <w:rPr>
                <w:rFonts w:cstheme="minorHAnsi"/>
                <w:i/>
                <w:iCs/>
              </w:rPr>
            </w:pPr>
            <w:r w:rsidRPr="00827EA1">
              <w:rPr>
                <w:rFonts w:cstheme="minorHAnsi"/>
                <w:i/>
                <w:iCs/>
              </w:rPr>
              <w:t xml:space="preserve">ii. d’entraîner des inefficacités significatives dans l’utilisation directe ou indirecte d’une ressource naturelle1 à n’importe quelle étape de son cycle de vie, qui ne sont pas réduites au minimum par des mesures adéquates ; </w:t>
            </w:r>
            <w:proofErr w:type="gramStart"/>
            <w:r w:rsidRPr="00827EA1">
              <w:rPr>
                <w:rFonts w:cstheme="minorHAnsi"/>
                <w:i/>
                <w:iCs/>
              </w:rPr>
              <w:t>ou</w:t>
            </w:r>
            <w:proofErr w:type="gramEnd"/>
          </w:p>
          <w:p w14:paraId="6A8719C5" w14:textId="77777777" w:rsidR="00680083" w:rsidRPr="00827EA1" w:rsidRDefault="00680083" w:rsidP="00827EA1">
            <w:pPr>
              <w:jc w:val="both"/>
              <w:rPr>
                <w:rFonts w:cstheme="minorHAnsi"/>
                <w:i/>
                <w:iCs/>
              </w:rPr>
            </w:pPr>
          </w:p>
          <w:p w14:paraId="5FAAAFE4" w14:textId="04764262" w:rsidR="00680083" w:rsidRPr="00827EA1" w:rsidRDefault="00680083" w:rsidP="00D65DE6">
            <w:pPr>
              <w:jc w:val="both"/>
              <w:rPr>
                <w:rFonts w:cstheme="minorHAnsi"/>
                <w:b/>
                <w:bCs/>
              </w:rPr>
            </w:pPr>
            <w:r w:rsidRPr="00827EA1">
              <w:rPr>
                <w:rFonts w:cstheme="minorHAnsi"/>
                <w:i/>
                <w:iCs/>
              </w:rPr>
              <w:t>iii. de causer un préjudice important et durable à l’environnement au regard de l’économie circulaire ?</w:t>
            </w:r>
          </w:p>
        </w:tc>
        <w:tc>
          <w:tcPr>
            <w:tcW w:w="709" w:type="dxa"/>
          </w:tcPr>
          <w:p w14:paraId="2B563B43" w14:textId="77777777" w:rsidR="00680083" w:rsidRPr="00827EA1" w:rsidRDefault="00680083" w:rsidP="00827EA1">
            <w:pPr>
              <w:jc w:val="both"/>
              <w:rPr>
                <w:rFonts w:cstheme="minorHAnsi"/>
              </w:rPr>
            </w:pPr>
          </w:p>
        </w:tc>
        <w:tc>
          <w:tcPr>
            <w:tcW w:w="2693" w:type="dxa"/>
          </w:tcPr>
          <w:p w14:paraId="262C4D43" w14:textId="77777777" w:rsidR="00680083" w:rsidRPr="00827EA1" w:rsidRDefault="00680083" w:rsidP="00827EA1">
            <w:pPr>
              <w:jc w:val="both"/>
              <w:rPr>
                <w:rFonts w:cstheme="minorHAnsi"/>
              </w:rPr>
            </w:pPr>
          </w:p>
        </w:tc>
      </w:tr>
      <w:tr w:rsidR="00680083" w:rsidRPr="00827EA1" w14:paraId="3B81A56D" w14:textId="77777777" w:rsidTr="00660A4F">
        <w:tc>
          <w:tcPr>
            <w:tcW w:w="6374" w:type="dxa"/>
          </w:tcPr>
          <w:p w14:paraId="2C13A485" w14:textId="77777777" w:rsidR="00680083" w:rsidRPr="00827EA1" w:rsidRDefault="00680083" w:rsidP="00D65DE6">
            <w:pPr>
              <w:pStyle w:val="Paragraphedeliste"/>
              <w:numPr>
                <w:ilvl w:val="0"/>
                <w:numId w:val="2"/>
              </w:numPr>
              <w:ind w:left="316"/>
              <w:jc w:val="both"/>
              <w:rPr>
                <w:rFonts w:cstheme="minorHAnsi"/>
                <w:b/>
                <w:bCs/>
              </w:rPr>
            </w:pPr>
            <w:r w:rsidRPr="00827EA1">
              <w:rPr>
                <w:rFonts w:cstheme="minorHAnsi"/>
                <w:b/>
                <w:bCs/>
              </w:rPr>
              <w:t>Prévention et réduction de la pollution de l’air, de l’eau et du sol</w:t>
            </w:r>
          </w:p>
          <w:p w14:paraId="75A224A0" w14:textId="6590F0E4" w:rsidR="00680083" w:rsidRPr="00827EA1" w:rsidRDefault="00680083" w:rsidP="00D65DE6">
            <w:pPr>
              <w:jc w:val="both"/>
              <w:rPr>
                <w:rFonts w:cstheme="minorHAnsi"/>
                <w:b/>
                <w:bCs/>
              </w:rPr>
            </w:pPr>
            <w:r w:rsidRPr="00827EA1">
              <w:rPr>
                <w:rFonts w:cstheme="minorHAnsi"/>
                <w:i/>
                <w:iCs/>
              </w:rPr>
              <w:t>La mesure risque- t-elle d’engendrer une augmentation notable des émissions de polluants dans l’air, l’eau ou le sol ?</w:t>
            </w:r>
          </w:p>
        </w:tc>
        <w:tc>
          <w:tcPr>
            <w:tcW w:w="709" w:type="dxa"/>
          </w:tcPr>
          <w:p w14:paraId="6119432D" w14:textId="77777777" w:rsidR="00680083" w:rsidRPr="00827EA1" w:rsidRDefault="00680083" w:rsidP="00827EA1">
            <w:pPr>
              <w:jc w:val="both"/>
              <w:rPr>
                <w:rFonts w:cstheme="minorHAnsi"/>
              </w:rPr>
            </w:pPr>
          </w:p>
        </w:tc>
        <w:tc>
          <w:tcPr>
            <w:tcW w:w="2693" w:type="dxa"/>
          </w:tcPr>
          <w:p w14:paraId="338DBB2F" w14:textId="77777777" w:rsidR="00680083" w:rsidRPr="00827EA1" w:rsidRDefault="00680083" w:rsidP="00827EA1">
            <w:pPr>
              <w:jc w:val="both"/>
              <w:rPr>
                <w:rFonts w:cstheme="minorHAnsi"/>
              </w:rPr>
            </w:pPr>
          </w:p>
          <w:p w14:paraId="2132F8DB" w14:textId="371173A1" w:rsidR="00680083" w:rsidRPr="00827EA1" w:rsidRDefault="00680083" w:rsidP="00827EA1">
            <w:pPr>
              <w:jc w:val="both"/>
              <w:rPr>
                <w:rFonts w:cstheme="minorHAnsi"/>
              </w:rPr>
            </w:pPr>
          </w:p>
        </w:tc>
      </w:tr>
      <w:tr w:rsidR="00680083" w:rsidRPr="00827EA1" w14:paraId="43CEA1C0" w14:textId="77777777" w:rsidTr="00660A4F">
        <w:tc>
          <w:tcPr>
            <w:tcW w:w="6374" w:type="dxa"/>
          </w:tcPr>
          <w:p w14:paraId="47F80110" w14:textId="77777777" w:rsidR="00680083" w:rsidRPr="00827EA1" w:rsidRDefault="00680083" w:rsidP="00D65DE6">
            <w:pPr>
              <w:pStyle w:val="Paragraphedeliste"/>
              <w:numPr>
                <w:ilvl w:val="0"/>
                <w:numId w:val="2"/>
              </w:numPr>
              <w:ind w:left="316"/>
              <w:jc w:val="both"/>
              <w:rPr>
                <w:rFonts w:cstheme="minorHAnsi"/>
                <w:b/>
                <w:bCs/>
              </w:rPr>
            </w:pPr>
            <w:r w:rsidRPr="00827EA1">
              <w:rPr>
                <w:rFonts w:cstheme="minorHAnsi"/>
                <w:b/>
                <w:bCs/>
              </w:rPr>
              <w:t>Protection et restauration de la biodiversité et des écosystèmes</w:t>
            </w:r>
          </w:p>
          <w:p w14:paraId="2235B5AC" w14:textId="77777777" w:rsidR="00680083" w:rsidRPr="00827EA1" w:rsidRDefault="00680083" w:rsidP="00827EA1">
            <w:pPr>
              <w:jc w:val="both"/>
              <w:rPr>
                <w:rFonts w:cstheme="minorHAnsi"/>
                <w:i/>
                <w:iCs/>
              </w:rPr>
            </w:pPr>
            <w:r w:rsidRPr="00827EA1">
              <w:rPr>
                <w:rFonts w:cstheme="minorHAnsi"/>
                <w:i/>
                <w:iCs/>
              </w:rPr>
              <w:t xml:space="preserve">La mesure risque-t-elle d’être : </w:t>
            </w:r>
          </w:p>
          <w:p w14:paraId="01875D6E" w14:textId="77777777" w:rsidR="00680083" w:rsidRPr="00827EA1" w:rsidRDefault="00680083" w:rsidP="00827EA1">
            <w:pPr>
              <w:jc w:val="both"/>
              <w:rPr>
                <w:rFonts w:cstheme="minorHAnsi"/>
                <w:i/>
                <w:iCs/>
              </w:rPr>
            </w:pPr>
            <w:r w:rsidRPr="00827EA1">
              <w:rPr>
                <w:rFonts w:cstheme="minorHAnsi"/>
                <w:i/>
                <w:iCs/>
              </w:rPr>
              <w:t xml:space="preserve">i. fortement préjudiciable au bon état et à la résilience d’écosystèmes ; </w:t>
            </w:r>
            <w:proofErr w:type="gramStart"/>
            <w:r w:rsidRPr="00827EA1">
              <w:rPr>
                <w:rFonts w:cstheme="minorHAnsi"/>
                <w:i/>
                <w:iCs/>
              </w:rPr>
              <w:t>ou</w:t>
            </w:r>
            <w:proofErr w:type="gramEnd"/>
          </w:p>
          <w:p w14:paraId="4118058D" w14:textId="77777777" w:rsidR="00680083" w:rsidRPr="00827EA1" w:rsidRDefault="00680083" w:rsidP="00827EA1">
            <w:pPr>
              <w:jc w:val="both"/>
              <w:rPr>
                <w:rFonts w:cstheme="minorHAnsi"/>
                <w:i/>
                <w:iCs/>
              </w:rPr>
            </w:pPr>
          </w:p>
          <w:p w14:paraId="77B42574" w14:textId="69831A32" w:rsidR="00680083" w:rsidRPr="00827EA1" w:rsidRDefault="00680083" w:rsidP="00D65DE6">
            <w:pPr>
              <w:jc w:val="both"/>
              <w:rPr>
                <w:rFonts w:cstheme="minorHAnsi"/>
                <w:b/>
                <w:bCs/>
              </w:rPr>
            </w:pPr>
            <w:r w:rsidRPr="00827EA1">
              <w:rPr>
                <w:rFonts w:cstheme="minorHAnsi"/>
                <w:i/>
                <w:iCs/>
              </w:rPr>
              <w:t>ii. préjudiciable à l’état de conservation des habitats et des espèces, y compris ceux qui présentent un intérêt pour l’Union ?</w:t>
            </w:r>
          </w:p>
        </w:tc>
        <w:tc>
          <w:tcPr>
            <w:tcW w:w="709" w:type="dxa"/>
          </w:tcPr>
          <w:p w14:paraId="0E326B90" w14:textId="77777777" w:rsidR="00680083" w:rsidRPr="00827EA1" w:rsidRDefault="00680083" w:rsidP="00827EA1">
            <w:pPr>
              <w:jc w:val="both"/>
              <w:rPr>
                <w:rFonts w:cstheme="minorHAnsi"/>
              </w:rPr>
            </w:pPr>
          </w:p>
        </w:tc>
        <w:tc>
          <w:tcPr>
            <w:tcW w:w="2693" w:type="dxa"/>
          </w:tcPr>
          <w:p w14:paraId="7ED84E8F" w14:textId="77777777" w:rsidR="00680083" w:rsidRPr="00827EA1" w:rsidRDefault="00680083" w:rsidP="00827EA1">
            <w:pPr>
              <w:jc w:val="both"/>
              <w:rPr>
                <w:rFonts w:cstheme="minorHAnsi"/>
              </w:rPr>
            </w:pPr>
          </w:p>
          <w:p w14:paraId="3F553B3E" w14:textId="7786863A" w:rsidR="00680083" w:rsidRPr="00827EA1" w:rsidRDefault="00680083" w:rsidP="00827EA1">
            <w:pPr>
              <w:jc w:val="both"/>
              <w:rPr>
                <w:rFonts w:cstheme="minorHAnsi"/>
              </w:rPr>
            </w:pPr>
          </w:p>
        </w:tc>
      </w:tr>
    </w:tbl>
    <w:p w14:paraId="75C7968E" w14:textId="3E9675C2" w:rsidR="00744094" w:rsidRPr="00827EA1" w:rsidRDefault="00744094" w:rsidP="00827EA1">
      <w:pPr>
        <w:jc w:val="both"/>
        <w:rPr>
          <w:rFonts w:cstheme="minorHAnsi"/>
          <w:highlight w:val="yellow"/>
        </w:rPr>
      </w:pPr>
    </w:p>
    <w:sectPr w:rsidR="00744094" w:rsidRPr="00827EA1" w:rsidSect="00660A4F">
      <w:headerReference w:type="even" r:id="rId8"/>
      <w:headerReference w:type="default" r:id="rId9"/>
      <w:footerReference w:type="even" r:id="rId10"/>
      <w:footerReference w:type="default" r:id="rId11"/>
      <w:headerReference w:type="first" r:id="rId12"/>
      <w:footerReference w:type="first" r:id="rId13"/>
      <w:pgSz w:w="11906" w:h="16838"/>
      <w:pgMar w:top="1417" w:right="991" w:bottom="709" w:left="1134" w:header="708" w:footer="1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F2DF1" w14:textId="77777777" w:rsidR="00CC7F55" w:rsidRDefault="00CC7F55" w:rsidP="00AC6E4D">
      <w:pPr>
        <w:spacing w:after="0" w:line="240" w:lineRule="auto"/>
      </w:pPr>
      <w:r>
        <w:separator/>
      </w:r>
    </w:p>
  </w:endnote>
  <w:endnote w:type="continuationSeparator" w:id="0">
    <w:p w14:paraId="5AFF7D7F" w14:textId="77777777" w:rsidR="00CC7F55" w:rsidRDefault="00CC7F55" w:rsidP="00AC6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2A71D" w14:textId="77777777" w:rsidR="002A48D2" w:rsidRDefault="002A48D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678016"/>
      <w:docPartObj>
        <w:docPartGallery w:val="Page Numbers (Bottom of Page)"/>
        <w:docPartUnique/>
      </w:docPartObj>
    </w:sdtPr>
    <w:sdtContent>
      <w:p w14:paraId="65C9B4D4" w14:textId="6AE2AEEF" w:rsidR="001B6EB0" w:rsidRDefault="001B6EB0" w:rsidP="00660A4F">
        <w:pPr>
          <w:pStyle w:val="Pieddepage"/>
          <w:pBdr>
            <w:top w:val="single" w:sz="4" w:space="1" w:color="auto"/>
          </w:pBdr>
          <w:jc w:val="right"/>
        </w:pPr>
        <w:r w:rsidRPr="00660A4F">
          <w:rPr>
            <w:sz w:val="18"/>
            <w:szCs w:val="18"/>
          </w:rPr>
          <w:fldChar w:fldCharType="begin"/>
        </w:r>
        <w:r w:rsidRPr="00660A4F">
          <w:rPr>
            <w:sz w:val="18"/>
            <w:szCs w:val="18"/>
          </w:rPr>
          <w:instrText>PAGE   \* MERGEFORMAT</w:instrText>
        </w:r>
        <w:r w:rsidRPr="00660A4F">
          <w:rPr>
            <w:sz w:val="18"/>
            <w:szCs w:val="18"/>
          </w:rPr>
          <w:fldChar w:fldCharType="separate"/>
        </w:r>
        <w:r w:rsidRPr="00660A4F">
          <w:rPr>
            <w:sz w:val="18"/>
            <w:szCs w:val="18"/>
            <w:lang w:val="fr-FR"/>
          </w:rPr>
          <w:t>2</w:t>
        </w:r>
        <w:r w:rsidRPr="00660A4F">
          <w:rPr>
            <w:sz w:val="18"/>
            <w:szCs w:val="18"/>
          </w:rPr>
          <w:fldChar w:fldCharType="end"/>
        </w:r>
        <w:r w:rsidR="00660A4F" w:rsidRPr="00660A4F">
          <w:rPr>
            <w:sz w:val="18"/>
            <w:szCs w:val="18"/>
          </w:rPr>
          <w:t>/</w:t>
        </w:r>
        <w:r w:rsidR="002A48D2">
          <w:rPr>
            <w:sz w:val="18"/>
            <w:szCs w:val="18"/>
          </w:rPr>
          <w:t>3</w:t>
        </w:r>
      </w:p>
    </w:sdtContent>
  </w:sdt>
  <w:p w14:paraId="18F6221E" w14:textId="77777777" w:rsidR="001B6EB0" w:rsidRDefault="001B6EB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DD75B" w14:textId="77777777" w:rsidR="002A48D2" w:rsidRDefault="002A48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83C75" w14:textId="77777777" w:rsidR="00CC7F55" w:rsidRDefault="00CC7F55" w:rsidP="00AC6E4D">
      <w:pPr>
        <w:spacing w:after="0" w:line="240" w:lineRule="auto"/>
      </w:pPr>
      <w:r>
        <w:separator/>
      </w:r>
    </w:p>
  </w:footnote>
  <w:footnote w:type="continuationSeparator" w:id="0">
    <w:p w14:paraId="72E830EA" w14:textId="77777777" w:rsidR="00CC7F55" w:rsidRDefault="00CC7F55" w:rsidP="00AC6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4AC5" w14:textId="77777777" w:rsidR="002A48D2" w:rsidRDefault="002A48D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19033" w14:textId="7A08852D" w:rsidR="001025FC" w:rsidRDefault="001025FC">
    <w:pPr>
      <w:pStyle w:val="En-tte"/>
    </w:pPr>
    <w:r>
      <w:rPr>
        <w:noProof/>
      </w:rPr>
      <mc:AlternateContent>
        <mc:Choice Requires="wps">
          <w:drawing>
            <wp:anchor distT="0" distB="0" distL="118745" distR="118745" simplePos="0" relativeHeight="251659264" behindDoc="1" locked="0" layoutInCell="1" allowOverlap="0" wp14:anchorId="2FA75E5F" wp14:editId="79096F87">
              <wp:simplePos x="0" y="0"/>
              <wp:positionH relativeFrom="margin">
                <wp:posOffset>4445</wp:posOffset>
              </wp:positionH>
              <wp:positionV relativeFrom="page">
                <wp:posOffset>247650</wp:posOffset>
              </wp:positionV>
              <wp:extent cx="5760720" cy="516255"/>
              <wp:effectExtent l="0" t="0" r="0" b="0"/>
              <wp:wrapSquare wrapText="bothSides"/>
              <wp:docPr id="1"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516255"/>
                      </a:xfrm>
                      <a:prstGeom prst="rect">
                        <a:avLst/>
                      </a:prstGeom>
                      <a:solidFill>
                        <a:schemeClr val="accent1">
                          <a:lumMod val="100000"/>
                          <a:lumOff val="0"/>
                        </a:schemeClr>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txbx>
                      <w:txbxContent>
                        <w:sdt>
                          <w:sdtPr>
                            <w:rPr>
                              <w:b/>
                              <w:bCs/>
                              <w:sz w:val="32"/>
                              <w:szCs w:val="32"/>
                            </w:rPr>
                            <w:alias w:val="Titre"/>
                            <w:tag w:val=""/>
                            <w:id w:val="1189017394"/>
                            <w:dataBinding w:prefixMappings="xmlns:ns0='http://purl.org/dc/elements/1.1/' xmlns:ns1='http://schemas.openxmlformats.org/package/2006/metadata/core-properties' " w:xpath="/ns1:coreProperties[1]/ns0:title[1]" w:storeItemID="{6C3C8BC8-F283-45AE-878A-BAB7291924A1}"/>
                            <w:text/>
                          </w:sdtPr>
                          <w:sdtContent>
                            <w:p w14:paraId="05223C58" w14:textId="6AEA1A92" w:rsidR="001025FC" w:rsidRPr="00AC6E4D" w:rsidRDefault="001025FC">
                              <w:pPr>
                                <w:pStyle w:val="En-tte"/>
                                <w:jc w:val="center"/>
                                <w:rPr>
                                  <w:b/>
                                  <w:bCs/>
                                  <w:caps/>
                                  <w:color w:val="FFFFFF" w:themeColor="background1"/>
                                </w:rPr>
                              </w:pPr>
                              <w:r w:rsidRPr="00AC6E4D">
                                <w:rPr>
                                  <w:b/>
                                  <w:bCs/>
                                  <w:sz w:val="32"/>
                                  <w:szCs w:val="32"/>
                                </w:rPr>
                                <w:t>Parc National de Wallonie - Phase 2 - GRILLE DNSH</w:t>
                              </w:r>
                            </w:p>
                          </w:sdtContent>
                        </w:sdt>
                      </w:txbxContent>
                    </wps:txbx>
                    <wps:bodyPr rot="0" vert="horz" wrap="square" lIns="91440" tIns="45720" rIns="91440" bIns="45720" anchor="ctr" anchorCtr="0" upright="1">
                      <a:noAutofit/>
                    </wps:bodyPr>
                  </wps:wsp>
                </a:graphicData>
              </a:graphic>
              <wp14:sizeRelH relativeFrom="margin">
                <wp14:pctWidth>100000</wp14:pctWidth>
              </wp14:sizeRelH>
              <wp14:sizeRelV relativeFrom="page">
                <wp14:pctHeight>0</wp14:pctHeight>
              </wp14:sizeRelV>
            </wp:anchor>
          </w:drawing>
        </mc:Choice>
        <mc:Fallback>
          <w:pict>
            <v:rect w14:anchorId="2FA75E5F" id="Rectangle 197" o:spid="_x0000_s1026" style="position:absolute;margin-left:.35pt;margin-top:19.5pt;width:453.6pt;height:40.65pt;z-index:-251657216;visibility:visible;mso-wrap-style:square;mso-width-percent:1000;mso-height-percent:0;mso-wrap-distance-left:9.35pt;mso-wrap-distance-top:0;mso-wrap-distance-right:9.35pt;mso-wrap-distance-bottom:0;mso-position-horizontal:absolute;mso-position-horizontal-relative:margin;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" o:allowoverlap="f" fillcolor="#4f81bd [3204]" stroked="f" strokeweight="2pt">
              <v:textbox>
                <w:txbxContent>
                  <w:sdt>
                    <w:sdtPr>
                      <w:rPr>
                        <w:b/>
                        <w:bCs/>
                        <w:sz w:val="32"/>
                        <w:szCs w:val="32"/>
                      </w:rPr>
                      <w:alias w:val="Titre"/>
                      <w:tag w:val=""/>
                      <w:id w:val="1189017394"/>
                      <w:dataBinding w:prefixMappings="xmlns:ns0='http://purl.org/dc/elements/1.1/' xmlns:ns1='http://schemas.openxmlformats.org/package/2006/metadata/core-properties' " w:xpath="/ns1:coreProperties[1]/ns0:title[1]" w:storeItemID="{6C3C8BC8-F283-45AE-878A-BAB7291924A1}"/>
                      <w:text/>
                    </w:sdtPr>
                    <w:sdtContent>
                      <w:p w14:paraId="05223C58" w14:textId="6AEA1A92" w:rsidR="001025FC" w:rsidRPr="00AC6E4D" w:rsidRDefault="001025FC">
                        <w:pPr>
                          <w:pStyle w:val="En-tte"/>
                          <w:jc w:val="center"/>
                          <w:rPr>
                            <w:b/>
                            <w:bCs/>
                            <w:caps/>
                            <w:color w:val="FFFFFF" w:themeColor="background1"/>
                          </w:rPr>
                        </w:pPr>
                        <w:r w:rsidRPr="00AC6E4D">
                          <w:rPr>
                            <w:b/>
                            <w:bCs/>
                            <w:sz w:val="32"/>
                            <w:szCs w:val="32"/>
                          </w:rPr>
                          <w:t>Parc National de Wallonie - Phase 2 - GRILLE DNSH</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CC4A" w14:textId="77777777" w:rsidR="002A48D2" w:rsidRDefault="002A48D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D2600"/>
    <w:multiLevelType w:val="hybridMultilevel"/>
    <w:tmpl w:val="64B05066"/>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rPr>
        <w:rFonts w:hint="default"/>
      </w:r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62812C33"/>
    <w:multiLevelType w:val="hybridMultilevel"/>
    <w:tmpl w:val="610C69F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119644688">
    <w:abstractNumId w:val="0"/>
  </w:num>
  <w:num w:numId="2" w16cid:durableId="472646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701"/>
    <w:rsid w:val="000470C1"/>
    <w:rsid w:val="00086717"/>
    <w:rsid w:val="001025FC"/>
    <w:rsid w:val="0017006D"/>
    <w:rsid w:val="001B6EB0"/>
    <w:rsid w:val="00200DFD"/>
    <w:rsid w:val="0020477F"/>
    <w:rsid w:val="00247523"/>
    <w:rsid w:val="00286C64"/>
    <w:rsid w:val="002A2110"/>
    <w:rsid w:val="002A48D2"/>
    <w:rsid w:val="003F205A"/>
    <w:rsid w:val="004425CB"/>
    <w:rsid w:val="00455391"/>
    <w:rsid w:val="004F0CD8"/>
    <w:rsid w:val="0051608C"/>
    <w:rsid w:val="00517317"/>
    <w:rsid w:val="00517544"/>
    <w:rsid w:val="00534749"/>
    <w:rsid w:val="00660A4F"/>
    <w:rsid w:val="00680083"/>
    <w:rsid w:val="00744094"/>
    <w:rsid w:val="007F2B9E"/>
    <w:rsid w:val="008044F6"/>
    <w:rsid w:val="00824CEC"/>
    <w:rsid w:val="00827EA1"/>
    <w:rsid w:val="00857701"/>
    <w:rsid w:val="00883A94"/>
    <w:rsid w:val="008B6FDE"/>
    <w:rsid w:val="00993E1B"/>
    <w:rsid w:val="009E7490"/>
    <w:rsid w:val="009F3AA6"/>
    <w:rsid w:val="00A646B3"/>
    <w:rsid w:val="00AC03D3"/>
    <w:rsid w:val="00AC6E4D"/>
    <w:rsid w:val="00AD7E3F"/>
    <w:rsid w:val="00B720E2"/>
    <w:rsid w:val="00BE7752"/>
    <w:rsid w:val="00C456A7"/>
    <w:rsid w:val="00C57430"/>
    <w:rsid w:val="00CC7F55"/>
    <w:rsid w:val="00CD3263"/>
    <w:rsid w:val="00D052F7"/>
    <w:rsid w:val="00D65DE6"/>
    <w:rsid w:val="00DF107D"/>
    <w:rsid w:val="00E447F1"/>
    <w:rsid w:val="00F46AB9"/>
    <w:rsid w:val="00F609A0"/>
    <w:rsid w:val="00FC017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32676"/>
  <w15:chartTrackingRefBased/>
  <w15:docId w15:val="{759714CE-D6E3-489A-BAF4-8C25263D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4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C6E4D"/>
    <w:pPr>
      <w:tabs>
        <w:tab w:val="center" w:pos="4536"/>
        <w:tab w:val="right" w:pos="9072"/>
      </w:tabs>
      <w:spacing w:after="0" w:line="240" w:lineRule="auto"/>
    </w:pPr>
  </w:style>
  <w:style w:type="character" w:customStyle="1" w:styleId="En-tteCar">
    <w:name w:val="En-tête Car"/>
    <w:basedOn w:val="Policepardfaut"/>
    <w:link w:val="En-tte"/>
    <w:uiPriority w:val="99"/>
    <w:rsid w:val="00AC6E4D"/>
  </w:style>
  <w:style w:type="paragraph" w:styleId="Pieddepage">
    <w:name w:val="footer"/>
    <w:basedOn w:val="Normal"/>
    <w:link w:val="PieddepageCar"/>
    <w:uiPriority w:val="99"/>
    <w:unhideWhenUsed/>
    <w:rsid w:val="00AC6E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6E4D"/>
  </w:style>
  <w:style w:type="character" w:styleId="Lienhypertexte">
    <w:name w:val="Hyperlink"/>
    <w:basedOn w:val="Policepardfaut"/>
    <w:uiPriority w:val="99"/>
    <w:unhideWhenUsed/>
    <w:rsid w:val="00883A94"/>
    <w:rPr>
      <w:color w:val="0000FF" w:themeColor="hyperlink"/>
      <w:u w:val="single"/>
    </w:rPr>
  </w:style>
  <w:style w:type="character" w:styleId="Mentionnonrsolue">
    <w:name w:val="Unresolved Mention"/>
    <w:basedOn w:val="Policepardfaut"/>
    <w:uiPriority w:val="99"/>
    <w:semiHidden/>
    <w:unhideWhenUsed/>
    <w:rsid w:val="00883A94"/>
    <w:rPr>
      <w:color w:val="605E5C"/>
      <w:shd w:val="clear" w:color="auto" w:fill="E1DFDD"/>
    </w:rPr>
  </w:style>
  <w:style w:type="paragraph" w:styleId="Paragraphedeliste">
    <w:name w:val="List Paragraph"/>
    <w:basedOn w:val="Normal"/>
    <w:uiPriority w:val="34"/>
    <w:qFormat/>
    <w:rsid w:val="007440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ur-lex.europa.eu/legal-content/FR/TXT/PDF/?uri=CELEX:52021XC0218(01)&amp;from=E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1436</Words>
  <Characters>7902</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Parc National de Wallonie - Phase 2 - GRILLE DNSH</vt:lpstr>
    </vt:vector>
  </TitlesOfParts>
  <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Parc National de Wallonie - Phase 2 - GRILLE DNSH</dc:title>
  <dc:subject/>
  <dc:creator>ZAROS Stéphanie</dc:creator>
  <cp:keywords/>
  <dc:description/>
  <cp:lastModifiedBy>VAN ASBROECK Philippe</cp:lastModifiedBy>
  <cp:revision>2</cp:revision>
  <dcterms:created xsi:type="dcterms:W3CDTF">2026-04-13T06:58:00Z</dcterms:created>
  <dcterms:modified xsi:type="dcterms:W3CDTF">2026-04-13T06:58:00Z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2022-01-21T11:42:36Z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512f92b8-3fd2-4f29-afbe-e3b4b1c72a2f</vt:lpwstr>
  </property>
  <property fmtid="{D5CDD505-2E9C-101B-9397-08002B2CF9AE}" pid="8" name="MSIP_Label_97a477d1-147d-4e34-b5e3-7b26d2f44870_ContentBits">
    <vt:lpwstr>0</vt:lpwstr>
  </property>
</Properties>
</file>